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https://www.autoritedelaconcurrence.fr/fr/decision-de-controle-des-concentrations/relative-la-prise-de-controle-des-societes-alkian-et</w:t>
      </w:r>
    </w:p>
    <w:p>
      <w:r>
        <w:t>Pages translated : 2</w:t>
      </w:r>
    </w:p>
    <w:p/>
    <w:p>
      <w:r>
        <w:rPr>
          <w:b/>
        </w:rPr>
        <w:t>[Pages 1–2]</w:t>
      </w:r>
    </w:p>
    <w:p>
      <w:r>
        <w:t xml:space="preserve">FRENCH REPUBLIC  </w:t>
        <w:br/>
        <w:t xml:space="preserve">Decision No. 23-DCC-71 of May 2, 2023  </w:t>
        <w:br/>
        <w:t xml:space="preserve">regarding the acquisition of control of the companies Alkian and  </w:t>
        <w:br/>
        <w:t xml:space="preserve">Savigneux Distribution by the Système U group alongside  </w:t>
        <w:br/>
        <w:t xml:space="preserve">Mr. Nooshian  </w:t>
        <w:br/>
        <w:t xml:space="preserve">The Competition Authority,  </w:t>
        <w:br/>
        <w:t xml:space="preserve">Having regard to the complete notification file submitted to the mergers department on April 13, 2023,  </w:t>
        <w:br/>
        <w:t xml:space="preserve">concerning the joint acquisition of control of the companies Alkian and Savigneux Distribution by the  </w:t>
        <w:br/>
        <w:t xml:space="preserve">Système U group alongside Mr. Nooshian, formalized by a letter of intent signed by  </w:t>
        <w:br/>
        <w:t xml:space="preserve">all parties on June 10, 2022;  </w:t>
        <w:br/>
        <w:t xml:space="preserve">Having regard to Book IV of the Commercial Code relating to the freedom of prices and competition, and  </w:t>
        <w:br/>
        <w:t xml:space="preserve">in particular its Articles L. 430-1 to L. 430-7;  </w:t>
        <w:br/>
        <w:t xml:space="preserve">Adopts the following decision:  </w:t>
        <w:br/>
        <w:t xml:space="preserve">1. The notified operation consists of the joint acquisition of control by the company Système U Est alongside Mr. Nooshian of the company Alkian and its subsidiary, the company Savigneux Distribution,  </w:t>
        <w:br/>
        <w:t xml:space="preserve">aiming to operate a retail business predominantly focused on food of the hypermarket type under the Super U brand located in Savigneux (42). It constitutes a concentration operation within the meaning of Article L. 430-1 of the Commercial Code. Given the revenues generated by the companies concerned, the operation does not fall under the jurisdiction of the European Union. However, the retail control thresholds mentioned in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23-059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