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https://www.autoritedelaconcurrence.fr/fr/decision-de-controle-des-concentrations/relative-la-prise-de-controle-du-groupe-ayming-par-la</w:t>
      </w:r>
    </w:p>
    <w:p>
      <w:r>
        <w:t>Pages translated : 2</w:t>
      </w:r>
    </w:p>
    <w:p/>
    <w:p>
      <w:r>
        <w:rPr>
          <w:b/>
        </w:rPr>
        <w:t>[Pages 1–2]</w:t>
      </w:r>
    </w:p>
    <w:p>
      <w:r>
        <w:t xml:space="preserve">FRENCH REPUBLIC  </w:t>
        <w:br/>
        <w:t xml:space="preserve">Decision No. 22-DCC-93 of June 2, 2022  </w:t>
        <w:br/>
        <w:t xml:space="preserve">regarding the acquisition of control of the Ayming group by EMZ Partners  </w:t>
        <w:br/>
        <w:t xml:space="preserve">The Competition Authority,  </w:t>
        <w:br/>
        <w:t xml:space="preserve">Having regard to the complete notification file sent to the mergers department on May 17, 2022,  </w:t>
        <w:br/>
        <w:t xml:space="preserve">concerning the acquisition of control of Al-Fin, the parent company of the Ayming group, by EMZ Partners, formalized by a unilateral purchase promise dated April 25,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acquisition of control of the Ayming group, active in the business consulting and professional training sector, by EMZ Partners and by certain executives of the Ayming group.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22-100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