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https://www.autoritedelaconcurrence.fr/fr/decision-de-controle-des-concentrations/relative-la-prise-de-controle-du-groupe-c2s-et-de-la-sas</w:t>
      </w:r>
    </w:p>
    <w:p>
      <w:r>
        <w:t>Pages translated : 5</w:t>
      </w:r>
    </w:p>
    <w:p/>
    <w:p>
      <w:r>
        <w:rPr>
          <w:b/>
        </w:rPr>
        <w:t>[Pages 1–3]</w:t>
      </w:r>
    </w:p>
    <w:p>
      <w:r>
        <w:t>FRENCH REPUBLIC</w:t>
        <w:br/>
        <w:t>Decision No. 11-DCC-37 of March 7, 2011</w:t>
        <w:br/>
        <w:t>regarding the acquisition of control of the C2S group and SAS Holding du Parc by Bridgepoint SAS</w:t>
        <w:br/>
        <w:t>The Competition Authority,</w:t>
        <w:br/>
        <w:t>Having regard to the notification file submitted in full to the concentrations service on February 2, 2011, regarding the acquisition of control of the company Compagnie Stéphanoise de Santé (hereinafter "C2S") and SAS Holding du Parc by Bridgepoint SA, formalized by C2S's acceptance on November 9, 2010, of a purchase offer from Bridgepoint SAS, and by a memorandum of understanding dated November 9, 2010, between C2S and the shareholders of SAS Holding du Parc;</w:t>
        <w:br/>
        <w:t>Having regard to Book IV of the Commercial Code relating to price and competition freedom, and in particular Articles L. 430-1 to L. 430-10;</w:t>
        <w:br/>
        <w:t>Having regard to the supplementary elements provided by the parties during the investigation;</w:t>
        <w:br/>
        <w:t>Adopts the following decision:</w:t>
        <w:br/>
        <w:t>I. The concerned companies and the operation</w:t>
        <w:br/>
        <w:t>A. THE CONCERNED COMPANIES</w:t>
        <w:br/>
        <w:t>1. Bridgepoint SAS is the management company of the venture capital fund BBTPS FCPR. Its capital is 100% owned by Bridgepoint Advisers Holdings, which is itself controlled by Bridgepoint Advisers Group Limited, the holding company of the Bridgepoint group. The capital of Bridgepoint Advisers Group Limited is held by [Confidential], none of whom exercise decisive influence over the company. The main activities of the Bridgepoint group include financial investment, management of equity stakes in companies, and management of these companies. It currently holds, through various investment funds, stakes in more than [Confidential] companies operating in various sectors.</w:t>
      </w:r>
    </w:p>
    <w:p>
      <w:r>
        <w:t>2. SAS Financière de la Bienfaisance was created for the needs of the operation. It is exclusively controlled by Bridgepoint SAS.</w:t>
      </w:r>
    </w:p>
    <w:p>
      <w:r>
        <w:t>3. The company C2S, whose capital is held by 125 private investors, and over which none of its shareholders exercises decisive influence, is the head holding company of the C2S group. It controls eleven subsidiaries operating in the fields of medical, surgical, and obstetric care, as well as follow-up and rehabilitation care. The C2S group operates nine hospital establishments in different French departments.</w:t>
      </w:r>
    </w:p>
    <w:p>
      <w:r>
        <w:t>4. Finally, SAS Clinique du Parc operates a medical-surgical clinic in Lyon (69). It is controlled by SAS Holding du Parc (these two companies will hereinafter be referred to as "Clinique du Parc group"), which is itself controlled by the company Klinic Investor, whose capital and voting rights are held by private investors.</w:t>
      </w:r>
    </w:p>
    <w:p>
      <w:r>
        <w:t>B. THE OPERATION</w:t>
        <w:br/>
        <w:t>5. The notified operation consists of the acquisition by the Bridgepoint group, via SAS Financière de la Bienfaisance, of exclusive control of the C2S group, on the one hand, and SAS Clinique du Parc, on the other hand.</w:t>
      </w:r>
    </w:p>
    <w:p>
      <w:r>
        <w:t>6. These two acquisitions constitute a single operation. Indeed, the European Commission specifies in its consolidated communication1 that "multiple operations constitute a single concentration operation for the purposes of Article 3 [of Regulation No. 139/2004] as long as they are essentially unitary" and that "to assess the unitary nature of the operations in question, it is necessary to determine, in each case, whether these operations are interdependent in the sense that one operation would not have been carried out without the other."</w:t>
      </w:r>
    </w:p>
    <w:p>
      <w:r>
        <w:t>7. In this case, the two notified acquisitions aim at a single economic objective, which is Bridgepoint's acquisition of C2S with the aim of carrying out external growth operations, primarily the acquisition of the Clinique du Parc group. Thus, the transfer of shares of SAS Holding du Parc to C2S is conditioned by "Bridgepoint's confirmation of its entry into the capital of C2S or any other company to be created." The interdependence between the two acquisitions has also been emphasized by the parties throughout their negotiations, with both targets being subject to a common valuation and being explicitly included in the target perimeter formed, after the completion of the two acquisitions, by Bridgepoint, C2S, and the Clinique du Parc group.</w:t>
      </w:r>
    </w:p>
    <w:p>
      <w:r>
        <w:t>8. The concerned companies together generate a total worldwide turnover of more than 150 million euros (Bridgepoint group: […] euros for the fiscal year ending December 31, 2009; C2S group: […] million euros for the same fiscal year; Clinique du Parc group: […] million euros for the same fiscal year). The Bridgepoint group and the C2S group each generate, in France, a turnover exceeding 50 million euros (Bridgepoint group: […] million euros for the fiscal year ending December 31, 2009; C2S group: […] million euros for the same fiscal year).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br/>
        <w:t>1 Point 38 of the Consolidated Communication on the Commission's jurisdiction under Council Regulation (EC) No. 139/2004 on the control of concentrations between undertakings.</w:t>
      </w:r>
    </w:p>
    <w:p>
      <w:r>
        <w:t>II. Delimitation of Relevant Markets</w:t>
        <w:br/>
        <w:t>A. SERVICE MARKETS</w:t>
        <w:br/>
        <w:t>9. The C2S group and Clinique du Parc are present, through the healthcare facilities they own, in the sector of providing diagnostics and hospital care.</w:t>
      </w:r>
    </w:p>
    <w:p>
      <w:r>
        <w:t>10. Regarding France, national and community decision-making practice2 considers that it is not relevant to distinguish the provision of diagnostics and care based on whether they are provided by private or public establishments. Indeed, in France, the patient is free to choose their establishment, public or private, without economic consideration. The reimbursement of care does not depend on the status of the establishment where the care was provided. Moreover, the generalization of activity-based pricing and patients' use of complementary insurance tend to increase patients' freedom of choice regarding the establishment in which they wish to be treated. Furthermore, whether public or private, hospital establishments are intended to accommodate all patients, without economic or social consideration. Finally, all hospital establishments established in France are subject to a common regulatory and normative framework that defines the conditions for the exercise of their activity, regulated at the regional level by the Regional Health Agencies ("ARS") with which they enter into contracts for objectives and means. The parties therefore believe that they are present in the market for the provision of hospital care.</w:t>
      </w:r>
    </w:p>
    <w:p>
      <w:r>
        <w:t>11. However, decision-making practice distinguishes markets for the provision of diagnostics and hospital care by type of activity to take into account the strong specialization of practitioners and the services of hospital establishments, as well as the necessity for a hospital establishment to obtain specific authorizations from the ARS for the exercise of certain medical or surgical specialties. The practice has thus considered broad segmentation by "specialized activity groups"3 corresponding to the major disciplines defined by the Public Health Code (medicine, surgery, obstetrics, follow-up care, and rehabilitation).</w:t>
      </w:r>
    </w:p>
    <w:p>
      <w:r>
        <w:t>12. The practice has also considered a narrower segmentation of the markets for diagnostics and hospital care, by "major diagnostic category" ("MDC") according to the classification of acts established by the ARS. The minister4 considered, while leaving the question open, that this segmentation could constitute a relevant level of segmentation since it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w:t>
        <w:br/>
        <w:t>2 Decision of the European Commission of May 21, 2010, COMP./M.5805, 3i/Vedici group; decision of the Competition Authority 09-DCC-68 of November 25, 2009, regarding the exclusive control of the group Cliniques privées associées by Crédit agricole private equity; letter from the Minister of Economy, Finance and Industry dated October 26, 2006, to the advisors of Capio santé SA, regarding a concentration in the sector of diagnostics and care in healthcare establishments, C2006-105; and the letter from the Minister of Economy, Finance and Industry dated January 6, 2006, to the advisors of Générale de santé regarding a concentration in the healthcare sector.</w:t>
        <w:br/>
        <w:t>3 See in particular the letter from the Minister of Economy and Finance dated January 6, 2006, to the advisors of Générale de santé mentioned above, in which the Minister of Economy and Finance considered a segmentation by "specialized activity group" within each of the major disciplines defined by the Public Health Code: (i) medicine, (ii) surgery, (iii) obstetrics, (iv) neonatology, (v) psychiatry, (vi) follow-up or functional rehabilitation care, (vii) long-term care and resuscitation, (viii) oncology-radiotherapy, and (ix) diagnostic activities.</w:t>
        <w:br/>
        <w:t>4 Letter from the Minister of Economy and Finance and Industry dated October 26, 2006, mentioned above.</w:t>
      </w:r>
    </w:p>
    <w:p>
      <w:r>
        <w:rPr>
          <w:b/>
        </w:rPr>
        <w:t>[Pages 4–5]</w:t>
      </w:r>
    </w:p>
    <w:p>
      <w:r>
        <w:t>13. In accordance with decision-making practice, broad segmentation by major discipline (medicine, surgery, obstetrics, follow-up care, and rehabilitation) as well as narrower segmentation by "major diagnostic category" will be used to analyze the effects of the present operation. In any event, the question of the exact definition of the relevant markets can be left open insofar as the conclusions of the analysis will remain unchanged regardless of the delimitation chosen.</w:t>
      </w:r>
    </w:p>
    <w:p>
      <w:r>
        <w:t>B. GEOGRAPHICAL DELIMITATION OF MARKETS</w:t>
      </w:r>
    </w:p>
    <w:p>
      <w:r>
        <w:t>14. The European Commission5, while leaving the question open, considers that the markets for the provision of diagnostics and hospital care have a local dimension extending to a 30-minute driving radius. French practice, taking into account the regulatory instruments used by the ARS, considers that the markets for the provision of diagnostics and hospital care have a local, at most regional, dimension, the perimeter of which depends on the specialty concerned by the studied healthcare market6.</w:t>
      </w:r>
    </w:p>
    <w:p>
      <w:r>
        <w:t>15. The parties consider that the relevant markets have a rather regional dimension, particularly given that the planning of healthcare provision is managed by the ARS at the regional level and that the distribution of healthcare activities and sanitary equipment by health territory is defined in an annex to the regional health organization scheme. However, the data regarding the geographical origin of patients for each of the hospital establishments involved in the operation show that the size of the patient origin areas varies significantly, not only depending on the establishment and the medical-surgical specialties practiced there but also depending on the region considered, its population density, and its level of healthcare facility equipment.</w:t>
      </w:r>
    </w:p>
    <w:p>
      <w:r>
        <w:t>16. In this case, the question of defining the geographical dimension of the relevant markets can be left open insofar as the conclusions of the analysis will remain unchanged regardless of the delimitation chosen.</w:t>
      </w:r>
    </w:p>
    <w:p>
      <w:r>
        <w:t>III. Competitive Analysis</w:t>
      </w:r>
    </w:p>
    <w:p>
      <w:r>
        <w:t>17. The notified operation will not result in any overlap between activities at the departmental level. At the regional level, their activities only overlap in Rhône-Alpes, which will be the focus of the competitive analysis.</w:t>
      </w:r>
    </w:p>
    <w:p>
      <w:r>
        <w:t>18. In the event of broad segmentation of the relevant markets corresponding to the major disciplines defined by the Public Health Code (medicine, surgery, obstetrics, follow-up care, and rehabilitation), the new entity will represent 0.6% of stays in the Rhône-Alpes region in medicine, 7.7% in surgery, and 0.4% in obstetrics. It will not be present in the market for follow-up care and rehabilitation in the Rhône-Alpes region.</w:t>
      </w:r>
    </w:p>
    <w:p>
      <w:r>
        <w:t>19. In the event of narrower segmentation by "major diagnostic categories" segmented based on the presence or absence of a surgical procedure, the analysis shows that the new entity will hold a market share of 16.4% in the market segment for surgical procedures concerning eye conditions in the Rhône-Alpes region corresponding to CMD2 and 0.7% in the non-surgical procedures of this major diagnostic category.</w:t>
      </w:r>
    </w:p>
    <w:p>
      <w:r>
        <w:t>20. The new entity will also hold market shares of less than 10% in the Rhône-Alpes region in other market segments.</w:t>
      </w:r>
    </w:p>
    <w:p>
      <w:r>
        <w:t>21. Finally, the healthcare establishments of the new entity face competition from many other healthcare establishments providing diagnostics and care in medicine, surgery, and obstetrics throughout all departments of the Rhône-Alpes region.</w:t>
      </w:r>
    </w:p>
    <w:p>
      <w:r>
        <w:t>22. Therefore, the present operation is not likely to harm competition in the relevant markets.</w:t>
      </w:r>
    </w:p>
    <w:p>
      <w:r>
        <w:t>DECIDES</w:t>
      </w:r>
    </w:p>
    <w:p>
      <w:r>
        <w:t>Sole Article: The operation notified under number 11-0011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