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https://www.autoritedelaconcurrence.fr/fr/decision-de-controle-des-concentrations/relative-la-prise-de-controle-du-groupe-hild-par-abenex-iv</w:t>
      </w:r>
    </w:p>
    <w:p>
      <w:r>
        <w:t>Pages translated : 2</w:t>
      </w:r>
    </w:p>
    <w:p/>
    <w:p>
      <w:r>
        <w:rPr>
          <w:b/>
        </w:rPr>
        <w:t>[Pages 1–2]</w:t>
      </w:r>
    </w:p>
    <w:p>
      <w:r>
        <w:t xml:space="preserve">FRENCH REPUBLIC  </w:t>
        <w:br/>
        <w:t xml:space="preserve">Decision No. 10-DCC-190 of December 16, 2010  </w:t>
        <w:br/>
        <w:t xml:space="preserve">regarding the acquisition of control of Groupe Hild  </w:t>
        <w:br/>
        <w:t xml:space="preserve">by Abénex IV  </w:t>
        <w:br/>
        <w:t xml:space="preserve">The Competition Authority,  </w:t>
        <w:br/>
        <w:t xml:space="preserve">Having regard to the complete notification file submitted to the mergers department on  </w:t>
        <w:br/>
        <w:t xml:space="preserve">November 23, 2010, concerning the acquisition of Groupe Hild by Abénex IV, formalized by a  </w:t>
        <w:br/>
        <w:t xml:space="preserve">transfer agreement dated November 5, 2010;  </w:t>
        <w:br/>
        <w:t xml:space="preserve">Having regard to Book IV of the Commercial Code relating to the freedom of prices and competition, and  </w:t>
        <w:br/>
        <w:t xml:space="preserve">notably its Articles L. 430-1 to L. 430-7;  </w:t>
        <w:br/>
        <w:t xml:space="preserve">Adopts the following decision:  </w:t>
        <w:br/>
        <w:t xml:space="preserve">I. The companies concerned and the operation  </w:t>
        <w:br/>
        <w:t xml:space="preserve">1. Abénex Capital is a licensed portfolio management company, active in the private equity sector. Its capital is entirely held by three individuals, none of whom holds controlling interests in another company. Abénex Capital autonomously manages the investments of its venture capital funds (hereinafter "FCPR"), including Abénex IV. Through its FCPR, Abénex Capital is active in various sectors, primarily those of commercial and collective catering, consulting and engineering in the development of tertiary spaces, distribution of household appliances, and microbiology.  </w:t>
        <w:br/>
        <w:t xml:space="preserve">2. Groupe Hild is controlled by the companies Comptoise d’Articles de Ferblanterie (hereinafter, "SCAF") and Etablissements Albert Hild et Cie (hereinafter, "A. Hild &amp; Cie"), which are themselves owned by the Hild family. SCAF and A. Hild &amp; Cie hold majority stakes in […] subsidiaries active in the galvanization and zinc products sector. Furthermore, SCAF holds […] % of the shares of the companies France Vulca SARL and Accessoires de Toiture et d’Etanchéité SARL (hereinafter, "ATE"), with the company Tyma B and the Straudo family holding the remainder of the capital, respectively.  </w:t>
        <w:br/>
        <w:t xml:space="preserve">3. The notified operation, formalized by a transfer agreement dated November 5, 2010, consists of the acquisition by Abénex IV of the shares of all the companies of Groupe Hild, except for the companies SCAF and A. Hild &amp; Cie. The acquisition also includes a business asset that SCAF operates in Ponthalier (25), as well as SCAF's stakes in the companies France Vulca and ATE. Following the proposed operation, all companies of Groupe Hild will be majority owned by Abénex IV. Similarly, France Vulca and ATE will be held at [&lt;50]% by Abénex IV. Given the voting rights provided for by their respective statutes, Abénex IV will hold joint control of these two companies.  </w:t>
        <w:br/>
        <w:t xml:space="preserve">4. Insofar as it results in the acquisition of exclusive control of Groupe Hild by Abénex IV, and the joint control of the companies France Vulca and ATE, the notified operation constitutes a concentration within the meaning of Article L. 430-1 of the Commercial Code. The companies concerned generate a total worldwide turnover of more than 150 million euros (Abénex: […] million euros for the fiscal year ending December 31, 2009; Groupe Hild: […] million euros for the same fiscal year). Each generates a turnover in France exceeding 50 million euros (Abénex: […] million euros for the fiscal year ending December 31, 2009; Groupe Hild: […] million euros for the same fiscal year). Given these turnover figures, the operation does not have a community dimension. However, the control thresholds mentioned in Article L. 430-2 of the Commercial Code are exceeded. This operation is therefore subject to the provisions of Articles L. 430-3 and following of the Commercial Code relating to economic concentration.  </w:t>
        <w:br/>
        <w:t xml:space="preserve">II. Competitive analysis  </w:t>
        <w:br/>
        <w:t xml:space="preserve">5. Groupe Hild is active in hot galvanization, the manufacture of sheet metal products for the drainage of rainwater and fumes. Furthermore, Groupe Hild manages a network of […] points of sale, primarily for the distribution of its own products. Finally, the notifying party specifies that Groupe Hild, formerly active in the production of enameled steel kitchen items, has ceased this activity and now only sells existing stocks. Moreover, the company Tyma B is active in the trading of machine tools dedicated to the manufacture of sheets or other materials in steel or lead. Finally, the Straudo family is a shareholder of the company Straudo, which manufactures and imports cover hooks.  </w:t>
        <w:br/>
        <w:t xml:space="preserve">6. None of the companies currently held by Abénex Capital is active in these markets or in markets presenting vertical links or connections with them. Consequently, the operation is not likely to harm competition.  </w:t>
        <w:br/>
        <w:t xml:space="preserve">DECIDES  </w:t>
        <w:br/>
        <w:t xml:space="preserve">Sole Article: The operation notified under number 10-0209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