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https://www.autoritedelaconcurrence.fr/fr/decision-de-controle-des-concentrations/relative-la-prise-de-controle-du-groupe-karavel-par-la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11-DCC-70 of May 9, 2011  </w:t>
        <w:br/>
        <w:t xml:space="preserve">regarding the acquisition of control of the Karavel group by the company LBO France Gestion  </w:t>
        <w:br/>
        <w:t xml:space="preserve">The Competition Authority,  </w:t>
        <w:br/>
        <w:t xml:space="preserve">Having regard to the complete notification file sent to the mergers department on April 15, 2011,  </w:t>
        <w:br/>
        <w:t xml:space="preserve">concerning the acquisition of control of the Karavel group by the company LBO France Gestion, formalized  </w:t>
        <w:br/>
        <w:t xml:space="preserve">by a purchase agreement dated April 13, 2011;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LBO France Gestion is an independent portfolio management company that manages several  </w:t>
        <w:br/>
        <w:t xml:space="preserve">investment funds. The notified operation consists of the exclusive acquisition of control over  </w:t>
        <w:br/>
        <w:t xml:space="preserve">all activities of the Karavel group, active in the online travel sales sector, by LBO France Gestion, and constitutes a concentration operation within the meaning of Article L. 430-1 of the Commercial Code. Given the revenues generated by the companies involved, the operation does not have a community dimension. However, the control thresholds related to concentration operations mentioned in point I of Article L. 430-2 of the Commercial Code are exceeded. 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11-0073 is authorized.  </w:t>
        <w:br/>
        <w:t xml:space="preserve">The President,  </w:t>
        <w:br/>
        <w:t xml:space="preserve">Bruno Lasserre  </w:t>
        <w:br/>
        <w:t>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