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https://www.autoritedelaconcurrence.fr/fr/decision-de-controle-des-concentrations/relative-la-prise-de-controle-du-groupe-leon-vincent-par-le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12-DCC-166 of December 3, 2012  </w:t>
        <w:br/>
        <w:t xml:space="preserve">regarding the acquisition of control of the Léon Vincent group by the FCPR  </w:t>
        <w:br/>
        <w:t xml:space="preserve">MMF IV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13, 2012, concerning the acquisition of control of the Léon Vincent group by the FCPR MMF  </w:t>
        <w:br/>
        <w:t xml:space="preserve">IV, materialized by a share transfer agreement dated October 24,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control of the Léon Vincent group, active in the  </w:t>
        <w:br/>
        <w:t xml:space="preserve">sector of freight forwarding, by the FCPR MMF IV, a venture capital mutual fund managed by the  </w:t>
        <w:br/>
        <w:t xml:space="preserve">management company Azulis Capital. It constitutes a concentration within the meaning of Article L. 430-1 of the Commercial Code. Given the turnover achieved by the companies concerned, the operation does not have a community dimension. On the other hand, the control thresholds relating to concentration operations mentioned in point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12-182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