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https://www.autoritedelaconcurrence.fr/fr/decision-de-controle-des-concentrations/relative-la-prise-de-controle-du-groupe-mariteam-par-la</w:t>
      </w:r>
    </w:p>
    <w:p>
      <w:r>
        <w:t>Pages translated : 4</w:t>
      </w:r>
    </w:p>
    <w:p/>
    <w:p>
      <w:r>
        <w:rPr>
          <w:b/>
        </w:rPr>
        <w:t>[Pages 1–3]</w:t>
      </w:r>
    </w:p>
    <w:p>
      <w:r>
        <w:t xml:space="preserve">FRENCH REPUBLIC  </w:t>
        <w:br/>
        <w:t xml:space="preserve">Decision No. 11-DCC-152 of October 11, 2011  </w:t>
        <w:br/>
        <w:t xml:space="preserve">regarding the acquisition of control of the Mariteam group  </w:t>
        <w:br/>
        <w:t xml:space="preserve">by the company Perceva  </w:t>
        <w:br/>
        <w:t xml:space="preserve">The Competition Authority,  </w:t>
        <w:br/>
        <w:t xml:space="preserve">Having regard to the notification file sent to the merger service on September 14, 2011, and declared complete on September 27, 2011, concerning the acquisition by the company Perceva of the Mariteam group, formalized by a "term sheet" signed on August 17, 2011;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Perceva is a portfolio management company approved by the AMF, whose main investment focus is the support and assistance of French companies facing complex operational or financial environments. Perceva currently manages the FCPR France Special Situations Fund I and controls the companies Trailor ACTM International (manufacturing of semi-trailers), Dalloyau (gastronomy and pastry), and Shark (motorcycle helmets).  </w:t>
        <w:br/>
        <w:t xml:space="preserve">2. The company GS Invest heads a group of companies (the "Mariteam group"), currently controlled by Mr. Selva. The main activity of the group is fish trading, namely the purchase at auctions of freshly landed species for sorting, allotting, and then packaging. The group's other activities concern the processing and packaging of seafood products, as well as logistics and supply of seafood products to restaurants.  </w:t>
        <w:br/>
        <w:t xml:space="preserve">3. The contemplated operation consists of the acquisition of all shares of GS Invest by the FCPR France Special Situations Fund I, through a company created for this purpose. As it results in the exclusive control of the Mariteam group by Perceva, the notified operation constitutes a concentration operation within the meaning of Article L. 430-1 of the Commercial Code.  </w:t>
        <w:br/>
        <w:t xml:space="preserve">4. The companies concerned together achieve a total worldwide turnover of more than 150 million euros (Perceva: [...] million euros for the fiscal year ending March 31, 2011; Mariteam group: [...] million euros for the fiscal year ending June 30, 2010). Each achieves a turnover in France exceeding 50 million euros (Perceva: [...] million euros for the fiscal year ending March 31, 2011; Mariteam group: [...] million euros for the fiscal year ending June 30, 2010). Given these turnovers, the operation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  </w:t>
        <w:br/>
        <w:t xml:space="preserve">II. Delimitation of the relevant markets  </w:t>
        <w:br/>
        <w:t xml:space="preserve">5. The Mariteam group is present in the market for the distribution of seafood products, while Perceva operates, in particular through Dalloyau, as a caterer, an activity for which it needs to source seafood products. It is therefore necessary to examine these markets in the context of the analysis of the vertical effects of the operation.  </w:t>
        <w:br/>
        <w:t xml:space="preserve">6. Firstly, regarding the activities of the Mariteam group, the decisional practice notes the existence of a wholesale market for fresh seafood products (or "aquatic products"), namely fish, shellfish, and crustaceans. Within this activity, the decisional practice has had the opportunity to dismiss the relevance of any potential segmentation based on the nature of the products sold, as both suppliers and buyers (large and medium-sized retailers, commercial and collective catering companies, fishmongers, and caterers) offer both fish, shellfish, and crustaceans and are therefore not specialized in the sale of a particular type of product.  </w:t>
        <w:br/>
        <w:t xml:space="preserve">7. The notifying party suggests segmenting the wholesale market for fresh seafood products by distribution channel, distinguishing between out-of-home catering ("RHF"), large and medium-sized retailers (GMS), and the agri-food industry. Furthermore, the notifying party distinguishes, within the RHF, the distribution to cafés, hotels, and restaurants ("CHR"), the only segment in which the target operates. In any case, the question of the exact delimitation of the wholesale market for fresh seafood products can be left open in the absence of competitive issues.  </w:t>
        <w:br/>
        <w:t xml:space="preserve">8. Regarding the geographical delimitation of the market, the decisional practice, without definitively resolving the issue, suggests that the wholesale distribution of fresh seafood products has a regional dimension. The national interest market of Rungis, for example, from which Dalloyau sources, represents 50% of the fresh products consumed in the Île-de-France region.  </w:t>
        <w:br/>
        <w:t xml:space="preserve">9. Secondly, regarding the activities of Dalloyau, the decisional practice considers the existence of a market for caterers-event organizers in which operators offer, in addition to the preparation of gastronomic products, services dedicated to the design and execution of events. They can thus handle part of the event logistics, table service of dishes, and provide human and material resources for which they ensure transportation. Their services are intended for a clientele composed of both professionals and individuals.  </w:t>
        <w:br/>
        <w:t xml:space="preserve">10. Concerning the geographical delimitation of this market, the practice considers a national dimension insofar as its main actors operate throughout the entire French territory, while noting the existence of a significant number of caterers-event organizers conducting their activities at the regional level. In any case, the question of the delimitation of a market for caterers-event organizers can be left open in the absence of competitive issues.  </w:t>
        <w:br/>
        <w:t xml:space="preserve">III. Competitive analysis  </w:t>
        <w:br/>
        <w:t xml:space="preserve">11. The operation does not result in any horizontal overlap of activities since the acquirer holds no controlling interest, directly or indirectly, in companies present in the same sector of activity as the Mariteam group.  </w:t>
        <w:br/>
        <w:t xml:space="preserve">12. On the other hand, Perceva, through Dalloyau, operates in a market downstream of the target's activities. However, a vertical concentration can restrict competition by making access to the markets in which the new entity will be active more difficult, or even potentially excluding competitors or penalizing them by increasing their costs. The decisional practice of the competition authorities, however, generally dismisses these lock-in risks when the share of the company resulting from the operation in the relevant markets does not exceed 30%.  </w:t>
        <w:br/>
        <w:t xml:space="preserve">13. In this case, the activities of the parties remain below this threshold. Indeed, the notifying party estimates that the activities of the Mariteam group represent [10-20]% of the market for the distribution of fresh seafood products to CHR in the southwestern quarter of France, and [0-5]% in Brittany. Similarly, while unable to provide an estimate of the target's market share in Île-de-France, the notifying party notes that the turnover generated by Les Viviers du Diben, the only subsidiary of the Mariteam group active in this region, represents a negligible market share there.  </w:t>
        <w:br/>
        <w:t xml:space="preserve">14. Finally, the notifying party estimates that the activities of Dalloyau represent less than [0-5]% of the market for caterers-event organizers at the national level, and less than [0-5]% in Île-de-France alone. Moreover, this company sources fresh seafood products exclusively from the national interest market of Rungis, in which Les Viviers du Diben has no activity.  </w:t>
        <w:br/>
        <w:t>15. In light of these elements, the operation is not likely to harm competition through vertical effects.</w:t>
      </w:r>
    </w:p>
    <w:p>
      <w:r>
        <w:rPr>
          <w:b/>
        </w:rPr>
        <w:t>[Pages 4–4]</w:t>
      </w:r>
    </w:p>
    <w:p>
      <w:r>
        <w:t xml:space="preserve">DECIDES  </w:t>
        <w:br/>
        <w:t xml:space="preserve">Sole Article: The operation notified under number 11-0162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