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https://www.autoritedelaconcurrence.fr/fr/decision-de-controle-des-concentrations/relative-la-prise-de-controle-du-groupe-medipole-sud-sante</w:t>
      </w:r>
    </w:p>
    <w:p>
      <w:r>
        <w:t>Pages translated : 5</w:t>
      </w:r>
    </w:p>
    <w:p/>
    <w:p>
      <w:r>
        <w:rPr>
          <w:b/>
        </w:rPr>
        <w:t>[Pages 1–3]</w:t>
      </w:r>
    </w:p>
    <w:p>
      <w:r>
        <w:t>FRENCH REPUBLIC</w:t>
        <w:br/>
        <w:t>Decision No. 11-DCC-57 of April 4, 2011</w:t>
        <w:br/>
        <w:t>regarding the acquisition of control of the Médipôle Sud Santé group by the</w:t>
        <w:br/>
        <w:t>Bridgepoint group</w:t>
        <w:br/>
        <w:t>The Competition Authority,</w:t>
        <w:br/>
        <w:t>Having regard to the notification file submitted in full to the merger service on March 4, 2011,</w:t>
        <w:br/>
        <w:t>regarding the acquisition of control of the Médipôle Sud Santé group (hereinafter, "MSS") by the</w:t>
        <w:br/>
        <w:t>Bridgepoint group, formalized by a share transfer agreement signed on March 3, 2011, between</w:t>
        <w:br/>
        <w:t>the companies Financière des Jasses, Financière Sud Santé, Médipôle Sud Santé, Aquasourca,</w:t>
        <w:br/>
        <w:t>Moab, Palamaj, GMD-Invest, Cameleon, BNP Paribas Développement, the FCPR Middle</w:t>
        <w:br/>
        <w:t>Market Fund III, on the one hand, and the company B-Cube, on the other hand;</w:t>
        <w:br/>
        <w:t>Having regard to Book IV of the Commercial Code relating to price freedom and competition, and</w:t>
        <w:br/>
        <w:t>in particular its Articles L. 430-1 to L. 430-10;</w:t>
        <w:br/>
        <w:t>Having regard to the supplementary elements transmitted by the parties during the investigation;</w:t>
        <w:br/>
        <w:t>Adopts the following decision:</w:t>
        <w:br/>
        <w:t>I. The concerned companies and the operation</w:t>
        <w:br/>
        <w:t>1. B-Cube is a holding company created for the needs of the operation, which does not engage in</w:t>
        <w:br/>
        <w:t>any economic activity and is controlled by the company Bridgepoint SAS. The latter is the</w:t>
        <w:br/>
        <w:t>management company of the Bridgepoint Europe IV FCPR fund. Its capital is 100% owned by</w:t>
        <w:br/>
        <w:t>Bridgepoint Advisers Holdings, which is itself controlled by Bridgepoint Advisers Group Limited,</w:t>
        <w:br/>
        <w:t>the parent holding company of the Bridgepoint group. The capital of Bridgepoint Advisers Group Limited is [Confidential], none of them exercising a decisive influence over the company. The main activities of the Bridgepoint group are financial investment, management of equity stakes in companies, and management of these companies. It currently holds, through various investment funds, stakes in more than […] groups active in various sectors.</w:t>
        <w:br/>
        <w:t>2. The company Financière MP Santé is the holding company of the MSS group. It is controlled by</w:t>
        <w:br/>
        <w:t>the company Médipôle Santé Finance, which is itself controlled by the company Financière Sud Santé. The company Financière MP Santé does not engage in any economic activity and controls SA Médipôle Sud Santé, a company that itself controls the subsidiaries of the group active in the field of medical, surgical, and obstetric care, as well as in follow-up and rehabilitation care. The MSS group thus operates nine hospital establishments: (i) Polyclinique Le Languedoc (11), (ii) Clinique les Genets (11), (iii) Polyclinique Saint Roch (66), (iv) Clinique Saint Pierre (66), (v) Clinique Notre Dame d’espérance (66), (vi) Clinique Saint Michel (66), (vii) Clinique du Vallespir (66), (viii) Clinique Rhône-Durance (84), and (ix) Polyclinique Kenval (30). The SARL MédiHAD, a subsidiary of SA Médipôle Sud Santé, also operates a home hospitalization structure in the department of Pyrénées Orientales (66).</w:t>
        <w:br/>
        <w:t>3. The notified operation consists of the acquisition by the Bridgepoint group, via the company B-</w:t>
        <w:br/>
        <w:t>Cube, of exclusive control of the MSS group.</w:t>
        <w:br/>
        <w:t>4. The concerned companies together achieve a total worldwide turnover of more than 150 million euros (Bridgepoint group: […] billion euros for the fiscal year ending December 31, 2009; MSS group: […] million euros for the same fiscal year). The Bridgepoint group and the MSS group each achieve, in France, a turnover exceeding 50 million euros (Bridgepoint group: […] million euros for the fiscal year ending December 31, 2009; MSS group: […]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A. DELIMITATION OF SERVICE MARKETS</w:t>
        <w:br/>
        <w:t>5. The MSS group is primarily present, through the healthcare establishments it owns, in the sector of the provision of diagnostics and care in healthcare establishments. The Bridgepoint group is also present in these sectors through the Diaverum group, which provides dialysis services.</w:t>
        <w:br/>
        <w:t xml:space="preserve">6. Regarding the markets for the provision of diagnostics and hospital care in France, national and community decision-making practice1 considers that it is not relevant to distinguish the provision of diagnostics and care based on whether they are provided by private or public establishments. Indeed, in France, the patient is free to choose their establishment, public or private, without economic consideration since the reimbursement of care does not depend on the status of the establishment in which the care was provided. Furthermore, the generalization of activity-based pricing and patients' use of complementary insurance tends to increase patients' freedom of choice regarding the establishment in which they wish to be treated. </w:t>
        <w:br/>
        <w:t>1 European Commission decision of May 21, 2010, COMP./M.5805, 3i/Vedici group; decision of the Competition Authority 09-DCC-68 of November 25, 2009, regarding the exclusive control of the group Cliniques privées associées by Crédit agricole private equity; letter from the Minister of Economy, Finance and Industry dated October 26, 2006, to the advisors of Capio santé SA, regarding a concentration in the sector of diagnostics and care in healthcare establishments, C2006-105; and the letter from the Minister of Economy, Finance and Industry dated January 6, 2006, to the advisors of Générale de santé regarding a concentration in the healthcare establishments sector.</w:t>
        <w:br/>
        <w:t>2</w:t>
      </w:r>
    </w:p>
    <w:p>
      <w:r>
        <w:t>treated. Furthermore, whether public or private, hospital establishments are intended to welcome all patients, without economic or social consideration. Finally, all hospital establishments established in France are subject to a common regulatory and normative framework that defines the conditions for exercising their activity, regulated at the regional level by the Regional Health Agencies ("ARS") with which they conclude contracts of objectives and means. The parties therefore consider that they are present in the market for the provision of hospital care.</w:t>
        <w:br/>
        <w:t>7. However, decision-making practice distinguishes markets for the provision of diagnostics and hospital care by type of activity to account for the high specialization of practitioners and services of hospital establishments, as well as the necessity for a hospital establishment to obtain specific authorizations from the ARS for the exercise of certain medical or surgical specialties. Practice has thus considered a broad segmentation by "specialized activity groups"2 corresponding to the major disciplines defined by the Public Health Code (medicine, surgery, obstetrics, follow-up care, and rehabilitation).</w:t>
        <w:br/>
        <w:t>8. Practice has also considered a narrower segmentation of the markets for diagnostics and hospital care, by "major diagnostic category" ("MDC") according to the classification of procedures established by the ARS. The minister3 considered, while leaving the question open, that this segmentation could constitute a relevant level of segmentation since it allows for the distinction of all medical procedures performed within hospital establishments according to both medical and functional criteria, taking into account the parts of the body treated, and economic criteria, with stays or admissions classified in the same group involving the use of similar resources.</w:t>
        <w:br/>
        <w:t>9. In accordance with decision-making practice, the broad segmentation by major discipline (medicine, surgery, obstetrics, follow-up care, and rehabilitation) as well as the narrower segmentation by "major diagnostic category" will be used to analyze the effects of the present operation. In any case, the question of the exact definition of these markets may be left open as the conclusions of the analysis will remain unchanged regardless of the delimitation retained.</w:t>
        <w:br/>
        <w:t>10. Regarding the provision of home hospitalization, the parties argue that there is no need to distinguish this activity from that of providing care within hospital establishments. The parties note, in this regard, that public authorities have emphasized that home hospitalization is "an integral part of hospital care modalities"4. However, this question may be left open in this case, as the conclusions of the analysis will remain unchanged regardless of the delimitation retained.</w:t>
        <w:br/>
        <w:t>11. Finally, regarding the provision of dialysis care, it follows from European decision-making practice that this activity is not likely to be distinguished from other comparable hospital care offerings5. The question of the exact definition of the market may, however, be left open as the conclusions of the analysis will remain unchanged regardless of the delimitation retained.</w:t>
        <w:br/>
        <w:t>2 See notably the letter from the Minister of Economy and Finance dated January 6, 2006, to the advisors of Générale de santé mentioned above, in which the Minister of Economy and Finance considered a segmentation by "specialized activity group" within each of the major disciplines defined by the Public Health Code: (i) medicine, (ii) surgery, (iii) obstetrics, (iv) neonatology, (v) psychiatry, (vi) follow-up or functional rehabilitation care, (vii) long-term care and resuscitation, (viii) oncology-radiotherapy, and (ix) diagnostic activities.</w:t>
        <w:br/>
        <w:t>3 Letter from the Minister of Economy and Finance and Industry dated October 26, 2006, mentioned above.</w:t>
        <w:br/>
        <w:t>4 Explanatory memorandum of Bill No. 1210 on hospital reform relating to patients, health, and territory, and Article 4 of Law No. 2009-879 of July 21, 2009, on hospital reform relating to patients, health, and territories.</w:t>
        <w:br/>
        <w:t>5 European Commission decision of December 8, 2005, No. COMP/M.4010, Fresenius / Helios.</w:t>
      </w:r>
    </w:p>
    <w:p>
      <w:r>
        <w:rPr>
          <w:b/>
        </w:rPr>
        <w:t>[Pages 4–5]</w:t>
      </w:r>
    </w:p>
    <w:p>
      <w:r>
        <w:t xml:space="preserve">B. GEOGRAPHICAL DELIMITATION OF MARKETS  </w:t>
        <w:br/>
        <w:t xml:space="preserve">12. The European Commission6, without definitively resolving the issue, suggests that the markets for the provision of diagnostics and hospital care have a local dimension extending to a 30-minute driving radius. French practice, taking into account the regulatory instruments used by the ARS, considers that the markets for the provision of diagnostics and hospital care have a local, at most regional, dimension, the perimeter of which depends on the specialty concerned by the healthcare provision market studied7.  </w:t>
        <w:br/>
        <w:t xml:space="preserve">13. The parties consider that the relevant markets have rather a regional dimension, particularly given that the planning of healthcare provision is managed by the ARS at the regional level and that the distribution of healthcare activities and sanitary equipment by health territory is further defined in an annex to the regional health organization scheme. However, the data concerning the geographical origin of patients for each of the hospital establishments involved in the operation show that the size of the patient origin areas varies significantly, not only depending on the establishment and the medical-surgical specialties practiced there, but also depending on the region considered, its population density, and its level of equipment in hospital care establishments.  </w:t>
        <w:br/>
        <w:t xml:space="preserve">14. In this case, the question of defining the geographical dimension of the relevant markets can be left open insofar as the conclusions of the analysis will remain unchanged regardless of the delimitation adopted.  </w:t>
        <w:br/>
        <w:t xml:space="preserve">III. Competitive Analysis  </w:t>
        <w:br/>
        <w:t xml:space="preserve">15. The notified operation will not result in any overlap of activities at the departmental level. At the regional level, the activities of the companies concerned only overlap in the Provence Alpes Côte d’Azur region.  </w:t>
        <w:br/>
        <w:t xml:space="preserve">16. Based on a broad segmentation of the relevant markets corresponding to the major disciplines defined by the Public Health Code (medicine, surgery, obstetrics, follow-up care, and rehabilitation), the new entity will represent [5-10]% of stays in the Provence Alpes Côte d’Azur region in medicine and [0-5]% in surgery. It will not be present in the obstetrics market or in the follow-up care and rehabilitation market in the region.  </w:t>
        <w:br/>
        <w:t xml:space="preserve">17. In the event of a narrower segmentation, by "major categories of diagnostics" segmented based on the presence or absence of a surgical procedure, the activities of the companies concerned only overlap in the market corresponding to CMD 11 – "Diseases of the kidney and urinary tract," via the company Diaverum, a subsidiary of the Bridgepoint group, on the one hand, and the clinic Rhône Durance (84), owned by the MSS group, on the other hand. In this market, the new entity will hold a market share of [10-20]% in the Provence Alpes Côte d’Azur region. It should be noted in this regard that the activities of the parties concern different market segments, since the healthcare establishments of Diaverum exclusively provide dialysis care, while the clinic Rhône Durance does not provide such care.  </w:t>
        <w:br/>
        <w:t xml:space="preserve">18. Therefore, this operation is not likely to harm competition in the relevant markets.  </w:t>
        <w:br/>
        <w:t xml:space="preserve">DECIDES  </w:t>
        <w:br/>
        <w:t xml:space="preserve">Sole Article: The operation notified under number 11-0012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