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https://www.autoritedelaconcurrence.fr/fr/decision-de-controle-des-concentrations/relative-la-prise-de-controle-du-groupe-tsg-par-la-societe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20-DCC-105 of August 19, 2020  </w:t>
        <w:br/>
        <w:t xml:space="preserve">regarding the acquisition of control of the TSG group  </w:t>
        <w:br/>
        <w:t xml:space="preserve">by the company HLD Europe SCA  </w:t>
        <w:br/>
        <w:t xml:space="preserve">The Competition Authority,  </w:t>
        <w:br/>
        <w:t xml:space="preserve">Having regard to the complete notification file submitted to the mergers department on July 17, 2020,  </w:t>
        <w:br/>
        <w:t xml:space="preserve">concerning the acquisition of control of the TSG group by the company HLD Europe SCA, formalized by  </w:t>
        <w:br/>
        <w:t xml:space="preserve">a purchase promise dated June 13,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investigation;  </w:t>
        <w:br/>
        <w:t xml:space="preserve">Adopts the following decision:  </w:t>
        <w:br/>
        <w:t xml:space="preserve">1. The notified operation consists of the joint control acquisition by the company HLD Europe SCA  </w:t>
        <w:br/>
        <w:t xml:space="preserve">and Mr. Baudouin du Fayet de la Tour of the TSG group.  </w:t>
        <w:br/>
        <w:t xml:space="preserve">2. Insofar as Mr. Baudouin du Fayet de la Tour does not control any other company at  </w:t>
        <w:br/>
        <w:t xml:space="preserve">the time of the operation, only the acquisition of control of the TSG group by the company HLD Europe  </w:t>
        <w:br/>
        <w:t xml:space="preserve">SCA constitutes a concentration operation within the meaning of Article L. 430-1 of the Commercial Code.  </w:t>
        <w:br/>
        <w:t xml:space="preserve">3. Given the turnover achieved by the concerned companies, the operation does not fall  </w:t>
        <w:br/>
        <w:t xml:space="preserve">under the jurisdiction of the European Union. On the other hand, the control thresholds related to  </w:t>
        <w:br/>
        <w:t xml:space="preserve">retail trade mentioned in point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4.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operation under number 20-114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