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https://www.autoritedelaconcurrence.fr/fr/decision-de-controle-des-concentrations/relative-la-prise-de-controle-dun-fonds-de-commerce-par-la</w:t>
      </w:r>
    </w:p>
    <w:p>
      <w:r>
        <w:t>Pages translated : 8</w:t>
      </w:r>
    </w:p>
    <w:p/>
    <w:p>
      <w:r>
        <w:rPr>
          <w:b/>
        </w:rPr>
        <w:t>[Pages 1–3]</w:t>
      </w:r>
    </w:p>
    <w:p>
      <w:r>
        <w:t xml:space="preserve">FRENCH REPUBLIC  </w:t>
        <w:br/>
        <w:t xml:space="preserve">Decision No. 10-DCC-197 of December 30, 2010  </w:t>
        <w:br/>
        <w:t xml:space="preserve">regarding the acquisition of control of a business  </w:t>
        <w:br/>
        <w:t>by the company Ho Hio Hen Investissements Outre Mer</w:t>
      </w:r>
    </w:p>
    <w:p>
      <w:r>
        <w:t xml:space="preserve">The Competition Authority,  </w:t>
        <w:br/>
        <w:t xml:space="preserve">Having regard to the notification file sent to the merger service on November 8, 2010, and declared complete on December 17, 2010, concerning the acquisition of exclusive control of the Cora Bas du Fort business by the company Ho Hio Hen Investissements Outre Mer, formalized by a memorandum of understanding dated October 15,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Ho Hio Hen Investissements Outre Mer (hereinafter "Hoio SA") is the holding company of the Hoio group, which is active in the retail food distribution in the departments of Martinique, Guyana, and Guadeloupe under the brand Super H and under the brands Géant and Casino. The group also acts as a food wholesaler through its subsidiary Multigros. Hoio SA is controlled by Charles Ho Hio Hen, who holds [&gt;50]% of its capital, the remainder being held by various members of the Ho Hio Hen family.  </w:t>
        <w:br/>
        <w:t xml:space="preserve">2. Supermarchés Match Guadeloupe and Cora Guadeloupe are subsidiaries of SISB, which is itself a subsidiary of the Louis Delhaize group, active in the fields of press, computing, luxury goods, and the distribution of everyday consumer goods. Following the withdrawal of the Louis Delhaize group from Guadeloupe, SISB currently operates only two hypermarkets under the Cora brand in Guadeloupe, the Cora Bas du Fort (Le Gosier) and the Cora Desmarais (Basse Terre). The Cora Bas du Fort hypermarket is operated by Cora Guadeloupe through a lease-management contract concluded with Supermarchés Match Guadeloupe.  </w:t>
        <w:br/>
        <w:t xml:space="preserve">3. The proposed operation consists of the acquisition by Hoio SA, on the one hand, of the business currently operated in the Cora Bas du Fort hypermarket and, on the other hand, of the entire real estate of the Labrousse shopping center owned by SISB in which the Cora Bas du Fort hypermarket is operated. The Cora Bas du Fort hypermarket will, after the transaction, be rebranded as Géant Casino.  </w:t>
        <w:br/>
        <w:t xml:space="preserve">4. The transaction is formalized by a transfer agreement dated October 15, 2010, according to which Supermarchés Match Guadeloupe committed to terminate the lease-management contract that bound it to Cora Guadeloupe and to transfer the business assets of the Cora Bas du Fort hypermarket to Hoio SA, and by a promise of sale dated October 15, 2010, according to which SISB committed to transfer the entire real estate of the Labrousse shopping center to Hoio SA.  </w:t>
        <w:br/>
        <w:t>5. As it results in the acquisition of the Cora Bas du Fort business assets by Hoio SA from Supermarchés Match Guadeloupe, the notified operation is a concentration operation within the meaning of Article L. 430-1 of the Commercial Code. The companies concerned operate several retail stores and together achieve a total worldwide turnover of more than 75 million euros (Hoio SA: […] million euros for the fiscal year ending December 31, 2009; the Cora Bas du Fort business: […] million euros for the same fiscal year). Each achieves in Guadeloupe in the retail sector a turnover exceeding 7.5 million euros (Hoio SA: […] million euros for the fiscal year ending December 31, 2009; the Cora Bas du Fort business: […] million euros for the same fiscal year). Given these turnover figures, the operation does not have a community dimension. However, the control thresholds related to retail mentioned in point III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6.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 xml:space="preserve">A. DOWNSTREAM MARKETS OF DISTRIBUTION  </w:t>
        <w:br/>
        <w:t xml:space="preserve">1. SERVICE MARKETS  </w:t>
        <w:br/>
        <w:t>7.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w:t>
      </w:r>
    </w:p>
    <w:p>
      <w:r>
        <w:t xml:space="preserve">8. Hypermarkets are usually defined as stores with a predominant focus on food, having a legal sales area exceeding 2,500 m². However, this threshold should be used with caution and may be adapted to the specific case, considering that stores with an area near the threshold, whether above or below, may in fact be in direct competition.  </w:t>
        <w:br/>
        <w:t>9. In the specific case, the transaction involves the acquisition of a business operated under the Cora Guadeloupe brand, which currently occupies a sales area of 5,600 m². It therefore falls into the category of hypermarkets.</w:t>
      </w:r>
    </w:p>
    <w:p>
      <w:r>
        <w:t xml:space="preserve">2. GEOGRAPHICAL DELIMITATION  </w:t>
        <w:br/>
        <w:t xml:space="preserve">10. In its recent decisions relating to transactions involving hypermarkets or supermarkets, the Competition Authority has reiterated that depending on the size of the stores concerned, the conditions of competition should be assessed over two different areas:  </w:t>
        <w:br/>
        <w:t xml:space="preserve">- a first market where the demand from consumers in an area meets the supply of hypermarkets that they can access within less than 30 minutes by car and which are, from their point of view, substitutable for each other;  </w:t>
        <w:br/>
        <w:t>- a second market where the demand from consumers meets the supply of supermarkets and equivalent forms of trade located within less than 15 minutes of travel time by car. These latter forms of trade may include, in addition to supermarkets, hypermarkets located near consumers and discount stores.</w:t>
      </w:r>
    </w:p>
    <w:p>
      <w:r>
        <w:t xml:space="preserve">11. Other criteria may nevertheless be taken into account to assess the impact of a concentration on the competitive situation in retail distribution markets, which may lead to refining the usual delimitations presented above. In this regard, the notifying party proposes to retain a geographical market limited to the area encompassing the municipalities of Pointe-à-Pitre, Le Gosier, and Les Abymes, citing the analysis of the markets in Martinique conducted by the Authority in the aforementioned decision 10-DCC-25.  </w:t>
        <w:br/>
        <w:t>12. However, it does not specify the relevance of this analysis for Guadeloupe, and the geographical market delimitation usually retained by the Competition Authority in its decision-making practice will therefore not be called into question in this specific case. The store concerned falls into the category of hypermarkets, and the competitive analysis will be conducted on both markets, the first market concerning all hypermarkets located within a catchment area of 30 minutes around the target hypermarket and the second market including supermarkets, hypermarkets, and proximity stores and discounters located within a radius of 15 minutes around the target hypermarket.</w:t>
      </w:r>
    </w:p>
    <w:p>
      <w:r>
        <w:t xml:space="preserve">B. UPSTREAM SUPPLY MARKETS  </w:t>
        <w:br/>
        <w:t>13. Regarding supply markets, the European Commission has recognized the existence of national dimension markets by major product groups, a delimitation followed by national authorities.</w:t>
      </w:r>
    </w:p>
    <w:p>
      <w:r>
        <w:rPr>
          <w:b/>
        </w:rPr>
        <w:t>[Pages 4–6]</w:t>
      </w:r>
    </w:p>
    <w:p>
      <w:r>
        <w:t>14. However, with regard to the DOM and the Antilles-Guyana area, the Competition Authority has highlighted the specific nature of the supply chains for consumer goods and its effects on the competitive balance of the markets concerned. Moreover, part of the supply for retail distribution brands with a food focus comes from local producers, in particular to satisfy local dietary habits and to limit import costs. The geographical markets in terms of supply could therefore be limited to each DOM or to Réunion on the one hand, and to the Antilles-Guyana area on the other hand.</w:t>
      </w:r>
    </w:p>
    <w:p>
      <w:r>
        <w:t>15. In the present case, the effects of the operation will be examined both on an upstream market at the national level and on a second upstream market at the local level, limited to the department of Guadeloupe and to the Antilles-Guyana area. The exact delimitation of the market can indeed be left open, as the conclusions of the competitive analysis remain unchanged regardless of the delimitation adopted.</w:t>
      </w:r>
    </w:p>
    <w:p>
      <w:r>
        <w:t xml:space="preserve">III. Competitive Analysis  </w:t>
        <w:br/>
        <w:t xml:space="preserve">A. DOWNSTREAM MARKET FOR FOOD DISTRIBUTION  </w:t>
        <w:br/>
        <w:t>16. On the first downstream market, comprising hypermarkets located within a 30-minute catchment area around the Labrousse shopping center (Le Gosier), the Cora Bas du Fort hypermarket represents 27% of the sales areas (5,600 m² out of 20,718 m²). Also present in this same market are two Carrefour hypermarkets representing 35% (Les Abymes) and 38% (Baie Mahault) of the sales areas, respectively.</w:t>
      </w:r>
    </w:p>
    <w:p>
      <w:r>
        <w:t>17. The notified operation does not result in any overlap of activities between Hoio SA and Cora Guadeloupe in this market. It is therefore not likely to harm competition.</w:t>
      </w:r>
    </w:p>
    <w:p>
      <w:r>
        <w:t>18. On the second downstream market, which includes hypermarkets, supermarkets, and discount stores within a 15-minute catchment area around the Labrousse shopping center (Le Gosier), the Cora Bas du Fort hypermarket represents 16.1% of the sales areas (5,600 m² out of a total of 34,720 m²). Hoio SA also operates several stores under the Ecomax brand in the 15-minute catchment area, which represent 10.2% of the sales areas. Following the proposed operation, Hoio SA's market share will therefore be 26.3%.</w:t>
      </w:r>
    </w:p>
    <w:p>
      <w:r>
        <w:t>19. The stores operated by Hoio SA will face competition from three supermarkets and two hypermarkets, operated under the brands 8 à Huit, Champion, and Carrefour belonging to the Despointes and Bernard Hayot groups, which together represent 48.8% of the sales areas. Additionally, four supermarkets operated under the brands Super U and Unik Market, belonging to the Honoré group, and representing 13% of the sales areas, are located in the same area.</w:t>
      </w:r>
    </w:p>
    <w:p>
      <w:r>
        <w:t>20. The operation is therefore not likely to harm competition in the downstream markets concerned.</w:t>
      </w:r>
    </w:p>
    <w:p>
      <w:r>
        <w:t xml:space="preserve">B. UPSTREAM MARKET FOR SUPPLY  </w:t>
        <w:br/>
        <w:t>21. With regard to the national supply market, the supplies of the parties concern, on the one hand, the private label brands of the Casino group to which the stores of the Hoio group have access through the affiliation of the GIE Super H to the purchasing center of the Casino group and, on the other hand, direct purchases from the GIE Super H.</w:t>
      </w:r>
    </w:p>
    <w:p>
      <w:r>
        <w:t>22. In the present case, the operation concerns only one store, and the strengthening of the purchasing power of the Hoio group at the national level will be marginal, both for all products combined and by major product groups. Moreover, the private label brands of the Casino group currently represent [5-10]% of Hoio's sales. If it is assumed that this proportion will be maintained with the operation, the Hoio group will represent, following the operation, only [0-5]% of the turnover generated by the Casino group on its private label brands.</w:t>
      </w:r>
    </w:p>
    <w:p>
      <w:r>
        <w:t>23. Regarding the supplies made at the national level through direct referencing with the GIE Super H, the bulk purchasing will concern all the brands of the Hoio group for a few products (entry-level products, unbranded trading products). Nevertheless, by adding the purchases from Cora Bas du Fort to the estimated purchasing share of the current brands of the Hoio group, it will remain, following the operation, below 1% of the national supply market estimated at 69 billion euros by the notifying party.</w:t>
      </w:r>
    </w:p>
    <w:p>
      <w:r>
        <w:t>24. As for the market for the supply of nationally or locally branded products distributed locally, it can be estimated, according to the parties, at just over two billion euros. The local purchases of Hoio SA amount to […] million euros, to which must be added the local supply from Cora Bas du Fort for […] million euros, totaling […] million euros, which corresponds to approximately 5.5% of the total local supplies in the area.</w:t>
      </w:r>
    </w:p>
    <w:p>
      <w:r>
        <w:t>25. Regarding the impact of the operation on the local supply markets by major product groups, the notifying party has provided the data presented in the table below concerning its purchases from its main suppliers. It was unable to provide product-specific data regarding its purchases from multi-product suppliers but specified that its weight in their overall turnover following the operation would be between 5 and 14% depending on the suppliers.</w:t>
      </w:r>
    </w:p>
    <w:p>
      <w:r>
        <w:t>26. The decision-making practice has considered that the market power of the new entity could constitute an obstacle to competition when it represented a percentage of the sales of the concerned suppliers significantly above a threshold of around 20 to 22%, since the loss of such a customer would pose a threat to the very existence of the suppliers. As the share of purchases by the Hoio group will remain below this threshold for all its suppliers, it should be considered that the operation is not likely to harm competition in the upstream supply markets.</w:t>
      </w:r>
    </w:p>
    <w:p>
      <w:r>
        <w:t>2 Decision of the European Commission No. IV/M.1684, Carrefour/Promodes, §52.</w:t>
      </w:r>
    </w:p>
    <w:p>
      <w:r>
        <w:t xml:space="preserve">Major Product Groups Estimated Weight of Hoio Group and Target Supplier Sales at Supplier  </w:t>
        <w:br/>
        <w:t xml:space="preserve">[Confidential] Dry Grocery [5-10]%  </w:t>
        <w:br/>
        <w:t xml:space="preserve">Drugstore  </w:t>
        <w:br/>
        <w:t xml:space="preserve">[Confidential] Perfumery [5-10]%  </w:t>
        <w:br/>
        <w:t xml:space="preserve">Dry Grocery  </w:t>
        <w:br/>
        <w:t xml:space="preserve">[Confidential] Liquids [0-5]%  </w:t>
        <w:br/>
        <w:t xml:space="preserve">[Confidential] Perishable Products [10-20]%  </w:t>
        <w:br/>
        <w:t xml:space="preserve">Drugstore  </w:t>
        <w:br/>
        <w:t xml:space="preserve">[Confidential] Perfumery [10-20]%  </w:t>
        <w:br/>
        <w:t xml:space="preserve">Hygiene  </w:t>
        <w:br/>
        <w:t xml:space="preserve">[Confidential] Liquids [10-20]%  </w:t>
        <w:br/>
        <w:t xml:space="preserve">Drugstore  </w:t>
        <w:br/>
        <w:t xml:space="preserve">[Confidential] [10-20]%  </w:t>
        <w:br/>
        <w:t xml:space="preserve">Perfumery  </w:t>
        <w:br/>
        <w:t xml:space="preserve">Liquids  </w:t>
        <w:br/>
        <w:t xml:space="preserve">[Confidential] [5-10]%  </w:t>
        <w:br/>
        <w:t xml:space="preserve">Dry Grocery  </w:t>
        <w:br/>
        <w:t xml:space="preserve">[Confidential] Dry Grocery [5-10]%  </w:t>
        <w:br/>
        <w:t xml:space="preserve">[Confidential] Dry Grocery [5-10]%  </w:t>
        <w:br/>
        <w:t xml:space="preserve">[Confidential] Perishable Products [10-20]%  </w:t>
        <w:br/>
        <w:t xml:space="preserve">[Confidential] Fruits and Vegetables [20-30]%  </w:t>
        <w:br/>
        <w:t xml:space="preserve">[Confidential] Perishable Products [0-5]%  </w:t>
        <w:br/>
        <w:t xml:space="preserve">[Confidential] Dry Grocery [0-5]%  </w:t>
        <w:br/>
        <w:t xml:space="preserve">[Confidential] Perfumery [5-10]%  </w:t>
        <w:br/>
        <w:t xml:space="preserve">[Confidential] Perishable Products [20-30]%  </w:t>
        <w:br/>
        <w:t xml:space="preserve">[Confidential] Liquids [10-20]%  </w:t>
        <w:br/>
        <w:t xml:space="preserve">[Confidential] Dry Grocery [5-10]%  </w:t>
        <w:br/>
        <w:t>Drugstore</w:t>
      </w:r>
    </w:p>
    <w:p>
      <w:r>
        <w:rPr>
          <w:b/>
        </w:rPr>
        <w:t>[Pages 7–8]</w:t>
      </w:r>
    </w:p>
    <w:p>
      <w:r>
        <w:t>Estimated weight of product groups sold by Hoio and target supplier</w:t>
      </w:r>
    </w:p>
    <w:p>
      <w:r>
        <w:t>[Confidential] Perfume [5-10] %</w:t>
        <w:br/>
        <w:t>Hygiene</w:t>
        <w:br/>
        <w:t>Drugstore</w:t>
        <w:br/>
        <w:t>[Confidential] Perfume [5-10] %</w:t>
        <w:br/>
        <w:t>Hygiene</w:t>
        <w:br/>
        <w:t>Perfume</w:t>
        <w:br/>
        <w:t>[Confidential] [10-20] %</w:t>
        <w:br/>
        <w:t>Hygiene</w:t>
        <w:br/>
        <w:t>[Confidential] Perfume [10-20] %</w:t>
        <w:br/>
        <w:t>Liquids</w:t>
        <w:br/>
        <w:t>[Confidential] [5-10] %</w:t>
        <w:br/>
        <w:t>Dry grocery</w:t>
        <w:br/>
        <w:t>[Confidential] Dry grocery [10-20] %</w:t>
        <w:br/>
        <w:t>[Confidential] Liquids [10-20] %</w:t>
        <w:br/>
        <w:t>[Confidential] Drugstore [10-20] %</w:t>
        <w:br/>
        <w:t>[Confidential] Dry grocery [10-20] %</w:t>
        <w:br/>
        <w:t>[Confidential] Liquids [10-20] %</w:t>
        <w:br/>
        <w:t>[Confidential] Bakery [10-20] %</w:t>
        <w:br/>
        <w:t>[Confidential] Perishable products [0-5] %</w:t>
        <w:br/>
        <w:t>Perfume</w:t>
        <w:br/>
        <w:t>[Confidential] [5-10] %</w:t>
        <w:br/>
        <w:t>Dry grocery</w:t>
        <w:br/>
        <w:t>[Confidential] Liquids [5-10] %</w:t>
        <w:br/>
        <w:t>Drugstore</w:t>
        <w:br/>
        <w:t>[Confidential] Perfume [5-10] %</w:t>
        <w:br/>
        <w:t>Hygiene</w:t>
        <w:br/>
        <w:t>[Confidential] Dry grocery [10-20] %</w:t>
        <w:br/>
        <w:t>[Confidential] Dry grocery [10-20] %</w:t>
        <w:br/>
        <w:t>[Confidential] Dry grocery [10-20] %</w:t>
      </w:r>
    </w:p>
    <w:p>
      <w:r>
        <w:t>DECIDES</w:t>
        <w:br/>
        <w:t>Single Article: The operation notified under number 10-0197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