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https://www.autoritedelaconcurrence.fr/fr/decision-de-controle-des-concentrations/relative-la-prise-de-controle-exclusif-dactifs-de-la-10</w:t>
      </w:r>
    </w:p>
    <w:p>
      <w:r>
        <w:t>Pages translated : 11</w:t>
      </w:r>
    </w:p>
    <w:p/>
    <w:p>
      <w:r>
        <w:rPr>
          <w:b/>
        </w:rPr>
        <w:t>[Pages 1–3]</w:t>
      </w:r>
    </w:p>
    <w:p>
      <w:r>
        <w:t xml:space="preserve">FRENCH REPUBLIC  </w:t>
        <w:br/>
        <w:t xml:space="preserve">Decision No. 25-DCC-243 of October 16, 2025  </w:t>
        <w:br/>
        <w:t xml:space="preserve">regarding the exclusive control of assets of the company  </w:t>
        <w:br/>
        <w:t>Spirit AeroSystems Holdings Inc. by the company Airbus SE</w:t>
      </w:r>
    </w:p>
    <w:p>
      <w:r>
        <w:t xml:space="preserve">The Competition Authority,  </w:t>
        <w:br/>
        <w:t xml:space="preserve">Having regard to the notification file submitted in full to the merger service on September 19, 2025, regarding the exclusive control of assets of the company Spirit AeroSystems Holdings Inc. by the company Airbus SE (hereinafter, "Airbus"), formalized by an acquisition contract dated April 27, 2025;  </w:t>
        <w:br/>
        <w:t xml:space="preserve">Having regard to Book IV of the Commercial Code relating to the freedom of prices and competition, and in particular its Articles L. 430-1 to L. 430-7;  </w:t>
        <w:br/>
        <w:t xml:space="preserve">Having regard to the supplementary elements transmitted by the notifying party during the investigation;  </w:t>
        <w:br/>
        <w:t>Adopts the following decision:</w:t>
      </w:r>
    </w:p>
    <w:p>
      <w:r>
        <w:t xml:space="preserve">I. The Companies Involved and the Transaction  </w:t>
        <w:br/>
        <w:t xml:space="preserve">1. Airbus is a Dutch law company whose shares are listed on the stock exchanges of Paris, Frankfurt, Barcelona, Bilbao, Madrid, and Valencia. Airbus is not controlled within the meaning of merger control law. Airbus is globally active in the aerospace, space, and defense sectors. Airbus comprises three operational divisions: the commercial division, which produces commercial aircraft, Defense and Space, which encompasses the portfolio of space and defense activities, and Helicopters for the manufacture of civil and military helicopters. Airbus also designs and manufactures aerostructures.  </w:t>
        <w:br/>
        <w:t xml:space="preserve">2. The target assets are currently exclusively held by Spirit AeroSystems Holdings Inc., an American publicly traded company listed on the New York Stock Exchange, whose exclusive control by The Boeing Company (hereinafter, "Boeing") was notably authorized under conditions by the European Commission on October 14, 2025 (hereinafter "the Boeing transaction"). The target assets are engaged in the design and manufacture of aerostructures exclusively intended for Airbus's large capacity commercial aircraft, notably for the A220, A320, and A350 programs. In this capacity, they produce fuselage structures, wing structures, and pylons. These assets are located in Saint-Nazaire in France, Belfast and Prestwick in the United Kingdom, Casablanca in Morocco, as well as Kinston and Wichita in the United States.  </w:t>
        <w:br/>
        <w:t xml:space="preserve">3. The transaction is materialized by a share and asset purchase agreement dated April 27, 2025. The completion of this transaction is conditioned upon the completion of the Boeing transaction. The transfer by Spirit to Airbus of the target assets is part of the commitments undertaken by Boeing for the completion of the Boeing transaction.  </w:t>
        <w:br/>
        <w:t>4. The companies involved together generate a total worldwide turnover of more than 150 million euros (Airbus: 69.2 billion euros for the fiscal year ending December 31, 2024; target assets: [≥ 150 million] euros for the same fiscal year). Each of these companies generates, in France, a turnover exceeding 50 million euros (Airbus: [≥ 50 million] euros for the fiscal year ending December 31, 2024; target assets: [≥ 50 million] euros for the same fiscal year). Given these turnover figures, the transaction does not have a European dimension. However, the control thresholds mentioned in I of Article L. 430-2 of the Commercial Code are exceeded. This transaction is therefore subject to the provisions of Articles L. 430-3 and following of the Commercial Code, relating to economic concentration.</w:t>
      </w:r>
    </w:p>
    <w:p>
      <w:r>
        <w:t xml:space="preserve">II. Definition of Relevant Markets  </w:t>
        <w:br/>
        <w:t xml:space="preserve">5. The target assets are present in the markets for the supply of aircraft parts. Airbus is also marginally active in these markets, as the products it manufactures are primarily intended for its own needs. Furthermore, Airbus, as an aircraft manufacturer, is primarily active in the downstream markets for aircraft production.  </w:t>
        <w:br/>
        <w:t xml:space="preserve">A. THE MARKETS FOR THE SUPPLY OF AIRCRAFT PARTS  </w:t>
        <w:br/>
        <w:t xml:space="preserve">1. PRODUCT MARKETS  </w:t>
        <w:br/>
        <w:t xml:space="preserve">6. The European Commission and the Competition Authority have alternatively considered, depending on the case at hand, (i) a global approach, defining a market for the supply of all parts involved in the manufacture of an aircraft or (ii) a component-based approach in which each component or sub-component, such as wings, fuselage, pylons, or nacelles, falls within a specific market.  </w:t>
        <w:br/>
        <w:t xml:space="preserve">7. European and national decisional practice has thus identified or considered different markets for each component or sub-component of aerostructures. Thus, it has  </w:t>
        <w:br/>
        <w:t xml:space="preserve">7 The notifying party considers that Airbus, through Airbus Aerostructures, is only very marginally active in the market for the supply of spare parts. Indeed, the notifying party estimates that Airbus's sales of spare parts to third-party aerostructures suppliers are very limited (less than [40,000-50,000] euros for Airbus Aerostructures and [0-5] million euros for ADS) and, consequently, its market shares in this potential market are marginal for each part sold. Moreover, sales by Airbus Aerostructures to the target assets are, on the one hand, below [40,000-50,000] euros between 2020 and 2025 and, on the other hand, [confidential]. Under these conditions, the market for the supply of spare parts to aerostructures suppliers will not be analyzed in this decision.  </w:t>
        <w:br/>
        <w:t xml:space="preserve">8 See the decision of the Competition Authority No. 20-DCC-62 of May 13, 2020, regarding the exclusive control of Short Brothers plc and Bombardier Aerospace North Africa SAS as well as certain assets of Bombardier by Spirit Aerosystems Inc. and the decisions of the European Commission M. 1601 Allied Signal / Honeywell of December 1, 1999, M. 8425 Safran / Zodiac Aerospace of December 21, 2017, and M. 8985 Boeing / KLX of October 1, 2018.  </w:t>
        <w:br/>
        <w:t xml:space="preserve">9 See the decisions of the European Commission M. 1438 British Aerospace / GEC Marconi of June 25, 1999 and M. 4561 GE / Smiths Aerospace of April 23, 2007.  </w:t>
        <w:br/>
        <w:t xml:space="preserve">10 See the decisions of the European Commission M. 2168 Snecma / Hurel-Dubois of November 14, 2000; M. 6410 UTC / Goodrich of July 26, 2012 and M. 8948 Spirit / Asco of March 20, 2019 as well as the aforementioned decision M. 8425.  </w:t>
        <w:br/>
        <w:t xml:space="preserve">11 See the aforementioned decision No. 20-DCC-62.  </w:t>
        <w:br/>
        <w:t>3</w:t>
      </w:r>
    </w:p>
    <w:p>
      <w:r>
        <w:rPr>
          <w:b/>
        </w:rPr>
        <w:t>[Pages 4–6]</w:t>
      </w:r>
    </w:p>
    <w:p>
      <w:r>
        <w:t>notably analyzed the markets for the supply of the components or sub-components listed below:</w:t>
      </w:r>
    </w:p>
    <w:p>
      <w:r>
        <w:t>− for wings: the fixed leading edge devices (and their sub-components, the slats and leading edge tracks), the trailing edge devices (and their sub-components, the trailing edge tracks), the leading edges, the trailing edges, the secondary wing structures, and the various structural components of the wing;</w:t>
      </w:r>
    </w:p>
    <w:p>
      <w:r>
        <w:t>− for nacelles: the thrust reversers (and their sub-components, the thrust reverser grids, the thrust reverser deflectors, the flexible metal pipes, and the high-temperature duct assemblies), the air intake cowls, the exhaust cones or nozzles, the fan cowls, and the reactor attachments;</w:t>
      </w:r>
    </w:p>
    <w:p>
      <w:r>
        <w:t>− for the fuselage: cockpit fuselages, forward fuselages, central fuselages, rear fuselages, and tail fuselages as well as the structural components of the fuselage parts.</w:t>
      </w:r>
    </w:p>
    <w:p>
      <w:r>
        <w:t>8. Furthermore, national decisional practice has distinguished, within the aircraft market, helicopters, commercial aircraft, so-called "general aviation" aircraft, and military aircraft. Within commercial aircraft, it has considered a segmentation between large capacity commercial aircraft (over 100 passengers), regional aircraft (between 30 and 100 passengers), and business aircraft. It has applied these segmentations to the sector of aircraft parts supply.</w:t>
      </w:r>
    </w:p>
    <w:p>
      <w:r>
        <w:t>9. Aerostructure producers can be aircraft manufacturers themselves, such as Boeing, Airbus, Gulfstream, and Dassault, or independent suppliers who then act as subcontractors for the aircraft manufacturers. The latter are divided into so-called first-tier suppliers (or "Tier-1," according to English terminology) and second-tier suppliers (or "Tier-2"). First-tier suppliers generally have assembly capabilities and can provide assembled aerostructures (for example, wings and nacelles), while second-tier suppliers are limited to the production of components or sub-components, which they then supply to first-tier suppliers or directly to aircraft manufacturers. Indeed, aircraft manufacturers can purchase parts directly from suppliers and choose to assemble the aerostructures themselves. In this case, the target assets are first-tier suppliers.</w:t>
      </w:r>
    </w:p>
    <w:p>
      <w:r>
        <w:t>10. The question of the precise delimitation of the market can be left open, with the conclusions of the competitive analysis remaining unchanged, regardless of the assumption made. In this case, the target assets exclusively supply Airbus with components and sub-components of wings, fuselage, and pylons for large capacity commercial aircraft. Airbus supplies central fuselages, nacelles, empennages, as well as wing aerostructures to third-party manufacturers.</w:t>
      </w:r>
    </w:p>
    <w:p>
      <w:r>
        <w:t>2. GEOGRAPHIC MARKETS</w:t>
      </w:r>
    </w:p>
    <w:p>
      <w:r>
        <w:t>11. European and national decisional practices consistently consider that the markets for aircraft parts are of a global dimension.</w:t>
      </w:r>
    </w:p>
    <w:p>
      <w:r>
        <w:t>12. There is no need, in this case, to challenge the geographical delimitation of these markets.</w:t>
      </w:r>
    </w:p>
    <w:p>
      <w:r>
        <w:t>B. MARKETS FOR AIRCRAFT PRODUCTION</w:t>
      </w:r>
    </w:p>
    <w:p>
      <w:r>
        <w:t>1. PRODUCT MARKETS</w:t>
      </w:r>
    </w:p>
    <w:p>
      <w:r>
        <w:t>13. European decisional practice has distinguished (i) helicopters, (ii) commercial aircraft, (iii) so-called "general aviation" aircraft, and (iv) military aircraft.</w:t>
      </w:r>
    </w:p>
    <w:p>
      <w:r>
        <w:t>14. Within commercial aircraft, the European Commission has distinguished between:</w:t>
      </w:r>
    </w:p>
    <w:p>
      <w:r>
        <w:t>- large capacity commercial aircraft within which an additional segmentation has been considered between (i) single-aisle aircraft (approximately 100 to 200 seats and a range of about 2,000 to 4,000 nautical miles) and (ii) twin-aisle aircraft (approximately 200 to 850 seats and a range of about 4,000 to 8,000 nautical miles);</w:t>
        <w:br/>
        <w:t>- regional aircraft (approximately 30 to 90 seats and a range of less than 2,000 nautical miles);</w:t>
        <w:br/>
        <w:t>- business aircraft designed for professional use (with a cost generally less than 70 million US dollars).</w:t>
      </w:r>
    </w:p>
    <w:p>
      <w:r>
        <w:t>15. There is no need, in this case, to challenge the delimitation of these product markets.</w:t>
      </w:r>
    </w:p>
    <w:p>
      <w:r>
        <w:t>16. In this case, only Airbus manufactures aircraft.</w:t>
      </w:r>
    </w:p>
    <w:p>
      <w:r>
        <w:t>2. GEOGRAPHIC MARKETS</w:t>
      </w:r>
    </w:p>
    <w:p>
      <w:r>
        <w:t>17. European decisional practice has deemed that the market for aircraft production is of a global dimension.</w:t>
      </w:r>
    </w:p>
    <w:p>
      <w:r>
        <w:t>18. There is no need, in this case, to challenge the geographical delimitation of these markets.</w:t>
      </w:r>
    </w:p>
    <w:p>
      <w:r>
        <w:t>III. Competitive Analysis</w:t>
      </w:r>
    </w:p>
    <w:p>
      <w:r>
        <w:t>A. ANALYSIS OF HORIZONTAL EFFECTS</w:t>
      </w:r>
    </w:p>
    <w:p>
      <w:r>
        <w:t>19. The activities of the parties overlap in the markets for the supply of aircraft parts. They are particularly active in the supply of central fuselages and wings as well as the components and sub-components of these parts.</w:t>
      </w:r>
    </w:p>
    <w:p>
      <w:r>
        <w:t>20. However, the combined market shares of the parties are limited in a potential segment of the central fuselage market, it being specified that the target assets only supply central fuselages for Airbus, and only for its commercial aircraft, while...</w:t>
      </w:r>
    </w:p>
    <w:p>
      <w:r>
        <w:rPr>
          <w:b/>
        </w:rPr>
        <w:t>[Pages 7–9]</w:t>
      </w:r>
    </w:p>
    <w:p>
      <w:r>
        <w:t>that Airbus supplies limited quantities of central fuselages [confidential] for business aircraft29.</w:t>
      </w:r>
    </w:p>
    <w:p>
      <w:r>
        <w:t>21. Regarding wings, the target assets only supply Airbus for its commercial aircraft. The latter, for its part, only supplies wings and components [confidential] intended for regional aircraft.</w:t>
      </w:r>
    </w:p>
    <w:p>
      <w:r>
        <w:t>22. In any case, the combined market shares of the parties are below 25%, regardless of the market segmentations considered. Thus, the transaction is not likely to have horizontal effects that could harm competition in the markets for the supply of aircraft parts.</w:t>
      </w:r>
    </w:p>
    <w:p>
      <w:r>
        <w:t>B. ANALYSIS OF VERTICAL EFFECTS</w:t>
      </w:r>
    </w:p>
    <w:p>
      <w:r>
        <w:t>23. A vertical concentration can restrict competition by making access to the markets in which the new entity will be active more difficult, or potentially by excluding competitors or penalizing them through increased costs. This lock-in can target downstream markets when the integrated company refuses to sell an input to its downstream competitors, or upstream markets when the downstream branch of the integrated company refuses to purchase products from upstream manufacturers, thereby reducing their commercial outlets.</w:t>
      </w:r>
    </w:p>
    <w:p>
      <w:r>
        <w:t>24. The decisional practice generally considers that it is unlikely for a company with a market share below 30% in a relevant market to lock in a downstream or upstream market.</w:t>
      </w:r>
    </w:p>
    <w:p>
      <w:r>
        <w:t>25. In this case, the target assets are present upstream in the supply of wings, fuselages, and pylons exclusively for Airbus's large capacity commercial aircraft, both single-aisle30 and twin-aisle31, while Airbus is active downstream in the production of large capacity commercial aircraft.</w:t>
      </w:r>
    </w:p>
    <w:p>
      <w:r>
        <w:t>26. Consequently, the transaction is likely to create a risk of vertical effects between the parties' activities in the upstream markets for the supply of aircraft parts and Airbus's activity in the downstream market for the production of large capacity commercial aircraft.</w:t>
      </w:r>
    </w:p>
    <w:p>
      <w:r>
        <w:t>1. RISK OF INPUT LOCK-IN</w:t>
      </w:r>
    </w:p>
    <w:p>
      <w:r>
        <w:t>27. Any competition concerns related to a potential lock-in of inputs can be excluded in this case, as the new entity does not have the capacity to implement a strategy to exclude Boeing or any other aircraft manufacturer.</w:t>
      </w:r>
    </w:p>
    <w:p>
      <w:r>
        <w:t>28. In this case, Airbus's market share in the market for the production of large capacity commercial aircraft is [60-70]% for single-aisle aircraft and [60-70]% for twin-aisle aircraft in terms of orders placed during the year 202432.</w:t>
      </w:r>
    </w:p>
    <w:p>
      <w:r>
        <w:t>29. However, the target assets do not supply aerostructures to any other customer than Airbus and, to Airbus's knowledge, have not supplied third-party aircraft manufacturers in the past33. The target assets are configured to meet the specifications of Airbus's large capacity commercial aircraft programs and could not be used, in their current state and for the duration of the ongoing programs34, to supply third-party aircraft manufacturers. Furthermore, all of Spirit's assets used to supply aerostructures to Boeing or other third-party aircraft manufacturers will be acquired by Boeing or by the aerostructures supplier CTRM35 as part of the Boeing transaction, which will prevent the new entity from implementing any exclusion strategy.</w:t>
      </w:r>
    </w:p>
    <w:p>
      <w:r>
        <w:t>30. In any case, the combined market shares of the parties in the markets for the supply of aircraft parts do not exceed 30%, regardless of the market segmentation considered.</w:t>
      </w:r>
    </w:p>
    <w:p>
      <w:r>
        <w:t>31. Consequently, the transaction will not result in any risk of input lock-in through the supply of aircraft parts.</w:t>
      </w:r>
    </w:p>
    <w:p>
      <w:r>
        <w:t>2. RISK OF CUSTOMER LOCK-IN</w:t>
      </w:r>
    </w:p>
    <w:p>
      <w:r>
        <w:t>32. Any competition concerns related to a potential lock-in of customers can be excluded in this case as the new entity will neither have the capacity nor the incentive to implement a strategy to exclude Airbus's competitors among the target assets.</w:t>
      </w:r>
    </w:p>
    <w:p>
      <w:r>
        <w:t>33. First, as previously mentioned, Airbus holds significant market shares in the markets for the production of large capacity commercial aircraft, including in the segmentations related to single-aisle and twin-aisle aircraft.</w:t>
      </w:r>
    </w:p>
    <w:p>
      <w:r>
        <w:t>34. However, it appears from the investigation that Airbus already purchases a significant portion of its aerostructures from the target assets, which only supply Airbus.</w:t>
      </w:r>
    </w:p>
    <w:p>
      <w:r>
        <w:t>35. Airbus is also a customer, for some of the programs and aerostructures for which it sources from the target assets, of [confidential]. The remainder is produced by Airbus in-house.</w:t>
      </w:r>
    </w:p>
    <w:p>
      <w:r>
        <w:t>36. However, the transaction is not likely to create a risk of locking access to the outlet represented by Airbus for these [confidential] companies. Indeed, the supply contract between Airbus and [confidential] is under conditions that do not allow Airbus, without objective justification, to turn away from [confidential].</w:t>
      </w:r>
    </w:p>
    <w:p>
      <w:r>
        <w:t>37. Airbus is similarly bound by contractual obligations to its supplier [confidential]. Moreover, [confidential].</w:t>
      </w:r>
    </w:p>
    <w:p>
      <w:r>
        <w:t>38. The transaction will have no significant impact on third-party suppliers already active in the market or on the entry of third parties into the market for the supply of aircraft parts, as the transaction consists of the internalization of a pre-existing supply relationship between Airbus and the target assets that are specially configured to produce aerostructures for Airbus's existing programs.</w:t>
      </w:r>
    </w:p>
    <w:p>
      <w:r>
        <w:t>39. Generally, suppliers of aerostructures for the duration of an aircraft program36, as changing suppliers during the life of an aircraft program incurs particularly high costs, both in terms of time and financially (notably regarding expertise, specific investments, specification transfer in a "design and build" model, and the transition period between two suppliers). Consequently, Airbus could not redirect its current purchases of aerostructures from third-party suppliers to the target assets without dedicating a lot of time and heavy investments. Indeed, the target assets are configured to manufacture aerostructures specific to certain Airbus programs and could not, in the short or medium term, produce other aerostructures. Furthermore, the target assets would not have the capacity to produce all the aerostructures corresponding to Airbus's needs. Thus, it would not be feasible for Airbus to redirect its purchases from third-party suppliers to the target assets during the life of a program.</w:t>
      </w:r>
    </w:p>
    <w:p>
      <w:r>
        <w:t>40. Moreover, if Airbus were to attempt such a change, suppliers present in the market for the supply of aircraft parts would still have the option to turn to other aircraft manufacturers than Airbus, such as Boeing, Embraer, or Comac.</w:t>
      </w:r>
    </w:p>
    <w:p>
      <w:r>
        <w:t>41. Under these conditions, any risk of customer lock-in by the new entity is excluded.</w:t>
      </w:r>
    </w:p>
    <w:p>
      <w:r>
        <w:t>3. ANALYSIS OF THE RISK OF SHARING COMMERCIALLY SENSITIVE INFORMATION</w:t>
      </w:r>
    </w:p>
    <w:p>
      <w:r>
        <w:t>42. The new entity could, due to vertical integration, access commercially sensitive information regarding the activities of competitors located upstream and downstream37.</w:t>
      </w:r>
    </w:p>
    <w:p>
      <w:r>
        <w:t>43. First, as mentioned in paragraph 29, the target assets only supply Airbus. Therefore, the target assets do not have commercially sensitive information related to third parties. Thus, Airbus, following the transaction, will not have access to such information.</w:t>
      </w:r>
    </w:p>
    <w:p>
      <w:r>
        <w:t>44. Next, the target assets from the sites in Belfast, Wichita, Prestwick, and Casablanca will be subject to separation measures between the assets held by Spirit acquired as part of the Boeing transaction and those acquired by Airbus as part of this transaction38. This separation will also concern the IT system used by Spirit.</w:t>
      </w:r>
    </w:p>
    <w:p>
      <w:r>
        <w:rPr>
          <w:b/>
        </w:rPr>
        <w:t>[Pages 10–11]</w:t>
      </w:r>
    </w:p>
    <w:p>
      <w:r>
        <w:t>is provided for by the commitments made by Boeing to the European Commission and will be monitored by the latter with the assistance of an approved agent to ensure that it does not result in any sharing of commercially sensitive information between Boeing and Airbus.</w:t>
      </w:r>
    </w:p>
    <w:p>
      <w:r>
        <w:t>45. Under these conditions and pursuant to the commitments made by Boeing to the European Commission, any risk of sharing commercially sensitive information is excluded.</w:t>
      </w:r>
    </w:p>
    <w:p>
      <w:r>
        <w:t>DECIDES</w:t>
      </w:r>
    </w:p>
    <w:p>
      <w:r>
        <w:t>Sole Article: The transaction notified under number 25-038 is authorized.</w:t>
      </w:r>
    </w:p>
    <w:p>
      <w:r>
        <w:t>The President,</w:t>
      </w:r>
    </w:p>
    <w:p>
      <w:r>
        <w:t>Benoît Cœuré</w:t>
      </w:r>
    </w:p>
    <w:p>
      <w: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