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https://www.autoritedelaconcurrence.fr/fr/decision-de-controle-des-concentrations/relative-la-prise-de-controle-exclusif-dactifs-de-la-3</w:t>
      </w:r>
    </w:p>
    <w:p>
      <w:r>
        <w:t>Pages translated : 5</w:t>
      </w:r>
    </w:p>
    <w:p/>
    <w:p>
      <w:r>
        <w:rPr>
          <w:b/>
        </w:rPr>
        <w:t>[Pages 1–3]</w:t>
      </w:r>
    </w:p>
    <w:p>
      <w:r>
        <w:t>FRENCH REPUBLIC</w:t>
        <w:br/>
        <w:t>Decision No. 17-DCC-122 of August 4, 2017</w:t>
        <w:br/>
        <w:t>regarding the exclusive control of assets of the company Eurosic by</w:t>
        <w:br/>
        <w:t>the company Gecina</w:t>
        <w:br/>
        <w:t>The Competition Authority,</w:t>
        <w:br/>
        <w:t>Having regard to the notification file submitted in full to the merger service on July 3, 2017,</w:t>
        <w:br/>
        <w:t>regarding the exclusive control of assets of the company Eurosic by the company Gecina,</w:t>
        <w:br/>
        <w:t>formalized by a memorandum of understanding regarding the merger between Gecina and Eurosic dated</w:t>
        <w:br/>
        <w:t>June 20, 2017;</w:t>
        <w:br/>
        <w:t>Having regard to Book IV of the Commercial Code relating to the freedom of prices and competition, and</w:t>
        <w:br/>
        <w:t>notably its Articles L. 430-1 to L. 430-7;</w:t>
        <w:br/>
        <w:t>Having regard to the supplementary elements transmitted by the parties during the investigation;</w:t>
        <w:br/>
        <w:t>Adopts the following decision:</w:t>
        <w:br/>
        <w:t>I. The concerned companies and the operation</w:t>
        <w:br/>
        <w:t>1. Gecina is a public limited company at the head of the Gecina group. The latter is active in the real estate services sector, particularly in the management of real estate assets, almost exclusively in Île-de-France. Gecina is 22.91% owned by the Invanhoé Cambridge group, 13.29% by Crédit Agricole Assurance Predica, 9.7% by Norges Bank, as well as by numerous other shareholders who each hold less than 5% of Gecina's capital. It follows from this capital distribution and the statutes of Gecina that it is not controlled, in the sense of merger control, by any of its shareholders.</w:t>
        <w:br/>
        <w:t>2. Eurosic is a real estate investment company listed on the Eurolist market of Euronext Paris. It holds and manages a portfolio of real estate assets, primarily consisting of offices located in Paris, the Paris region, and major regional metropolitan areas. Eurosic also holds assets in the leisure sector, warehouses, and housing.</w:t>
        <w:br/>
        <w:t>3. The contemplated operation consists of three successive, legally linked phases, of which only the first two have an impact on its qualification under merger control.</w:t>
      </w:r>
    </w:p>
    <w:p>
      <w:r>
        <w:t>4. Initially, by a memorandum of understanding and six share purchase agreements dated June 20, 2017, Gecina will acquire 77.16% of the capital and 80.71% of the voting rights of Eurosic.</w:t>
        <w:br/>
        <w:t>5. Subsequently, Gecina will transfer all its shares in four Eurosic subsidiaries that do not align with its strategy (hereinafter referred to as the "diversification assets") to Batipart. This transfer will occur upon the definitive completion of the first phase of the operation.</w:t>
        <w:br/>
        <w:t>6. A concentration operation is only deemed completed if it results in a lasting change in the control of the company concerned. In this case, the temporary nature of Gecina's exclusive control over the diversification assets is agreed upon by the parties in a legally binding manner from the first phase. Thus, in addition to the distinct nature of the first two phases of the operation which do not involve the same acquirers, the control exercised by Gecina over the diversification assets is purely temporary. As such, the diversification assets must be excluded from the scope of the operation.</w:t>
        <w:br/>
        <w:t>7. Insofar as it results in the exclusive control of assets of the company Eurosic by the company Gecina, the notified operation constitutes a concentration operation within the meaning of Article L. 430-1 of the Commercial Code.</w:t>
        <w:br/>
        <w:t>8. The concerned companies together achieve a worldwide turnover excluding taxes of more than 150 million euros (Gecina: 540 million euros for the fiscal year ending December 31, 2016; assets of Eurosic transferred: […] euros for the same fiscal year). They achieve a turnover in France of more than 50 million euros (Gecina: 540 million euros for the fiscal year ending December 31, 2016; assets of Eurosic transferred: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1 Eurosic Lagune of which Eurosic holds 61% of the capital, Eurosic Investment Spain Socimi of which Eurosic holds 73.4% of the capital, Eurosic Management Spain of which Eurosic holds all of the capital, and SNC Nature Hébergements 1 of which Eurosic holds 50% of the capital.</w:t>
        <w:br/>
        <w:t>2 The memorandum of understanding indeed provides for the transfer by Gecina to Batipart of the diversification assets, immediately following the first step.</w:t>
        <w:br/>
        <w:t>3 Decision No. 10-DCC-130 of October 7, 2010, regarding the exclusive control of assets of the Sodictock SA group by the company CAF Grains, a subsidiary of the Invivo group.</w:t>
        <w:br/>
        <w:t>4 The exclusive control of Eurosic by Gecina is acquired during the first step. The certainty of the second step restricts the scope of the operation, and the third step, which consists of Gecina launching a mandatory public offer during which the main shareholders of Eurosic will contribute the remainder of their holdings, so that Gecina will ultimately hold 89.59% of the capital and 93.71% of the voting rights of Eurosic, does not change the nature of the control exercised over Eurosic by Gecina.</w:t>
      </w:r>
    </w:p>
    <w:p>
      <w:r>
        <w:t>II. Delimitation of Relevant Markets</w:t>
        <w:br/>
        <w:t>A. PRODUCT AND SERVICE MARKETS</w:t>
        <w:br/>
        <w:t>9. National and European competition authorities have considered, while leaving the question open, different segmentations in the real estate services sector according to (i) the recipients of the services, with properties intended either for individuals, the buildings concerned then being for residential use, or for businesses, the buildings concerned then being for commercial or professional use, (ii) the method of price setting (free residential real estate and subsidized social or intermediate housing), (iii) the type of activity conducted on the premises (offices, commercial premises, and other activity premises such as warehouses or hotels), and (iv) the nature of the services or goods offered.</w:t>
        <w:br/>
        <w:t>10. For this last segmentation, the following services have been identified:</w:t>
        <w:br/>
        <w:t>(i) real estate promotion which includes construction and sale activities of real estate;</w:t>
        <w:br/>
        <w:t>(ii) management of real estate assets for one's own account;</w:t>
        <w:br/>
        <w:t>(iii) management of real estate assets for third parties (institutional investors, mainly banks and insurance companies) which covers advice and management of real estate portfolios (arbitrage and valuation of assets), structuring of real estate investment operations, and management of real estate assets and specialized investment vehicles (notably civil real estate companies);</w:t>
        <w:br/>
        <w:t>(iv) property management which covers the activities of managing buildings on behalf of owners and can be segmented between rental management and co-ownership management;</w:t>
        <w:br/>
        <w:t>(v) real estate appraisal;</w:t>
        <w:br/>
        <w:t>(vi) real estate consulting;</w:t>
        <w:br/>
        <w:t>(vii) intermediation in real estate transactions for which intermediation in purchase/sale operations is distinguished from intermediation in rental operations.</w:t>
        <w:br/>
        <w:t>11. In this case, the parties are simultaneously active in the markets for the holding and management for their own account of real estate assets intended for individuals (housing, excluding residential assets for social use) and businesses (offices and shops).</w:t>
        <w:br/>
        <w:t>12. Regarding commercial real estate assets, the decision-making practice, while leaving the question open, has considered a segmentation between shopping centers and premises.</w:t>
      </w:r>
    </w:p>
    <w:p>
      <w:r>
        <w:rPr>
          <w:b/>
        </w:rPr>
        <w:t>[Pages 4–5]</w:t>
      </w:r>
    </w:p>
    <w:p>
      <w:r>
        <w:t>commercial premises at the base of buildings. In this case, only the segment of commercial premises located at the base of buildings is concerned by the operation.</w:t>
      </w:r>
    </w:p>
    <w:p>
      <w:r>
        <w:t>13. The parties to the operation are also simultaneously present in the parking lot market for which competition authorities have considered a market for paid parking lots, distinct from free parking lots, residential parking lots, as well as company or private parking lots. They have also considered, while leaving the question open, distinguishing a market for parking spaces at airports intended for car rental agencies.</w:t>
      </w:r>
    </w:p>
    <w:p>
      <w:r>
        <w:t>14. The question of the exact market delineation can be left open, as the conclusions of the competitive analysis remain unchanged, regardless of the delineations retained.</w:t>
      </w:r>
    </w:p>
    <w:p>
      <w:r>
        <w:t>B. GEOGRAPHICAL MARKETS</w:t>
      </w:r>
    </w:p>
    <w:p>
      <w:r>
        <w:t>15. The decision-making practice considers that the markets related to the real estate sector are of a local dimension, while leaving the question open. However, the analysis has already been conducted at the national level for real estate services intended for businesses when the operations were carried out by groups of national scope following a strategy of territorial coverage.</w:t>
      </w:r>
    </w:p>
    <w:p>
      <w:r>
        <w:t>16. For the Île-de-France region, the Minister of Economy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the competitive analysis."</w:t>
      </w:r>
    </w:p>
    <w:p>
      <w:r>
        <w:t>For other regions, competition authorities have conducted their competitive analyses at the regional or sub-regional level.</w:t>
      </w:r>
    </w:p>
    <w:p>
      <w:r>
        <w:t>17. In this case, the activities of the parties in the real estate services sector overlap in Île-de-France as well as, for the sole activity of managing real estate assets for office use, at the level of the Lyon urban area.</w:t>
      </w:r>
    </w:p>
    <w:p>
      <w:r>
        <w:t>18. However, the question of the exact geographical delineation of the markets in the real estate sector can be left open, as the conclusions of the competitive analysis remain unchanged, regardless of the delineations retained.</w:t>
      </w:r>
    </w:p>
    <w:p>
      <w:r>
        <w:t>III. Competitive Analysis</w:t>
      </w:r>
    </w:p>
    <w:p>
      <w:r>
        <w:t>19. In the real estate sector, the notifying party estimates that following the operation, the new entity will hold a market share of less than 4.5%, regardless of the market concerned and the geographical dimension retained.</w:t>
      </w:r>
    </w:p>
    <w:p>
      <w:r>
        <w:t>20. In each of the relevant markets, numerous operators are present (real estate companies, insurance companies, investment funds, institutional players, etc.).</w:t>
      </w:r>
    </w:p>
    <w:p>
      <w:r>
        <w:t>21. Consequently, the operation is not likely to harm competition in the various markets for the ownership and management of real estate assets for their own account.</w:t>
      </w:r>
    </w:p>
    <w:p>
      <w:r>
        <w:t>DECIDES</w:t>
      </w:r>
    </w:p>
    <w:p>
      <w:r>
        <w:t>Sole Article: The operation notified under number 17-128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