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https://www.autoritedelaconcurrence.fr/fr/decision-de-controle-des-concentrations/relative-la-prise-de-controle-exclusif-dactifs-de-la-7</w:t>
      </w:r>
    </w:p>
    <w:p>
      <w:r>
        <w:t>Pages translated : 2</w:t>
      </w:r>
    </w:p>
    <w:p/>
    <w:p>
      <w:r>
        <w:rPr>
          <w:b/>
        </w:rPr>
        <w:t>[Pages 1–2]</w:t>
      </w:r>
    </w:p>
    <w:p>
      <w:r>
        <w:t xml:space="preserve">FRENCH REPUBLIC  </w:t>
        <w:br/>
        <w:t xml:space="preserve">Decision No. 21-DCC-207 of November 16, 2021  </w:t>
        <w:br/>
        <w:t xml:space="preserve">regarding the exclusive control acquisition of assets of the company  </w:t>
        <w:br/>
        <w:t xml:space="preserve">Digitalbridge Group by the company Fortress Investment  </w:t>
        <w:br/>
        <w:t xml:space="preserve">The Competition Authority,  </w:t>
        <w:br/>
        <w:t xml:space="preserve">Having regard to the complete notification file submitted to the mergers department on October 27, 2021,  </w:t>
        <w:br/>
        <w:t xml:space="preserve">concerning the exclusive control acquisition of assets of the company Digitalbridge Group by the company  </w:t>
        <w:br/>
        <w:t xml:space="preserve">Fortress Investment, formalized by an acquisition contract dated June 5,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management company Fortress  </w:t>
        <w:br/>
        <w:t xml:space="preserve">Investment of real estate assets in the retail and office sectors of the company  </w:t>
        <w:br/>
        <w:t xml:space="preserve">Digitalbridge Group. It constitutes a concentration operation within the meaning of Article L. 430-1 of the Commercial Code. Given the turnover achieved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21-213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