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https://www.autoritedelaconcurrence.fr/fr/decision-de-controle-des-concentrations/relative-la-prise-de-controle-exclusif-dactifs-de-la-8</w:t>
      </w:r>
    </w:p>
    <w:p>
      <w:r>
        <w:t>Pages translated : 3</w:t>
      </w:r>
    </w:p>
    <w:p/>
    <w:p>
      <w:r>
        <w:rPr>
          <w:b/>
        </w:rPr>
        <w:t>[Pages 1–3]</w:t>
      </w:r>
    </w:p>
    <w:p>
      <w:r>
        <w:t xml:space="preserve">FRENCH REPUBLIC  </w:t>
        <w:br/>
        <w:t xml:space="preserve">Decision No. 13-DEX-02 of April 22, 2013  </w:t>
        <w:br/>
        <w:t xml:space="preserve">regarding the exclusive control of assets of Imerys TC  </w:t>
        <w:br/>
        <w:t>by Bouyer-Leroux</w:t>
      </w:r>
    </w:p>
    <w:p>
      <w:r>
        <w:t xml:space="preserve">The Competition Authority,  </w:t>
        <w:br/>
        <w:t xml:space="preserve">Having regard to the notification file sent to the merger service on February 4, 2013, and declared complete on March 8, 2013, regarding the exclusive control of assets of Imerys TC by Bouyer-Leroux, formalized by a firm and irrevocable offer dated December 12, 2012;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1. Bouyer-Leroux is a cooperative and participative company ("SCOP"), with capital entirely held by its employee and former employee members, none of whom holds a stake greater than […] %. Bouyer-Leroux is primarily active in the sectors of wall bricks, partition bricks (or "plaster bricks"), and terracotta tiles, which it manufactures at two production sites located in the Pays de la Loire region.</w:t>
      </w:r>
    </w:p>
    <w:p>
      <w:r>
        <w:t>2. Imerys is a company specialized in the extraction and processing of rare minerals. It is organized into four business branches, namely minerals for ceramics, refractories, abrasives and foundry, performance minerals and filtration, pigments for paper and packaging, as well as materials and monolithics, the latter covering the "terracotta bricks" activity that is the subject of the transaction. The assets of Imerys TC concerned by the transaction consist of seven production sites where wall bricks and plaster bricks are manufactured, located in the west and south of France, as well as various elements related to their operation (quarry operating rights, CO² quotas, elements of goodwill).</w:t>
      </w:r>
    </w:p>
    <w:p>
      <w:r>
        <w:t>3. The present transaction, formalized by a firm and irrevocable offer and a draft share purchase agreement, consists of the acquisition by Bouyer-Leroux of all the shares and voting rights of an acquisition vehicle that will hold all the assets of Imerys TC involved in the transaction.</w:t>
      </w:r>
    </w:p>
    <w:p>
      <w:r>
        <w:t>4. As it results in the exclusive control of Imerys TC's assets by Bouyer-Leroux, the notified transaction constitutes a concentration within the meaning of Article L.430-1 of the Commercial Code.</w:t>
      </w:r>
    </w:p>
    <w:p>
      <w:r>
        <w:t>5. The companies concerned together achieve a total worldwide turnover of more than 150 million euros (Bouyer-Leroux: […] euros for the fiscal year ending September 30, 2011; target assets: […] euros for the fiscal year ending December 31, 2011). Each of these companies has achieved a turnover in France exceeding 50 million euros (Bouyer-Leroux: […] euros for the fiscal year ending September 30, 2011; target assets: […] euros for the fiscal year ending December 31, 2011). Given these turnover figures, the transaction does not have a community dimension. However, the control thresholds mentioned in I of Article L. 430-2 of the Commercial Code are exceeded. This transaction is therefore subject to the provisions of Articles L. 430-3 and following of the Commercial Code relating to economic concentration.</w:t>
      </w:r>
    </w:p>
    <w:p>
      <w:r>
        <w:t>6. The examination provided for in I of Article L. 430-5 of the Commercial Code, which has been carried out, raises serious doubts about harm to competition. Indeed, in a context marked by annual price increases [confidential], while the sales volumes of these products are in constant decline, the transaction would lead to a significant strengthening of Bouyer-Leroux's competitive position in several regional markets for wall construction materials in France. Following the transaction, Bouyer-Leroux will hold almost all the production sites manufacturing plaster bricks in the greater West of France, and will therefore be in a position of near-monopoly in the Brittany and Pays de la Loire regions.</w:t>
      </w:r>
    </w:p>
    <w:p>
      <w:r>
        <w:t>7. Furthermore, the acquisition of the sites concerned by the transaction will grant the new entity a very high share in the sales of wall bricks in Aquitaine. Finally, the new entity will be the only company to offer a range of products that includes both plaster bricks and wall bricks in the greater West of France, which could strengthen its market power.</w:t>
      </w:r>
    </w:p>
    <w:p>
      <w:r>
        <w:t>8. Bouyer-Leroux submitted a proposal for commitments on March 29, 2013. These commitments include, in particular, the sale of the business of selling plaster bricks produced at the La Boissière-du-Doré site and the "Sibo" brand. Under a supply contract, the notifying party would supply the purchaser with plaster bricks from a production site of which Bouyer-Leroux would retain full ownership and over which it would control production. Bouyer-Leroux has indicated that it has already identified a buyer, namely a wholesaler located in the Pays-de-la-Loire region. Finally, the notifying party has proposed to commit to selling a production site for wall bricks in Saint-Laurent-des-Autels, which has been inactive since 2010.</w:t>
      </w:r>
    </w:p>
    <w:p>
      <w:r>
        <w:t>9. These commitments have been subject to a market test, the result of which confirms their insufficiency. The guidelines of the Competition Authority regarding the control of concentrations indeed indicate that "the Competition Authority primarily seeks structural measures, aimed at ensuring competitive market structures through the divestiture of activities or certain assets to an appropriate buyer capable of exercising real competition (...). For a divestiture to effectively remedy competition concerns, it is essential that the divested activity be viable and competitive. To this end, the scope of the divestiture must include all the assets and all the personnel necessary for its proper functioning." The proposed commitments, however, do not include either the production assets of plaster bricks or the personnel necessary for this production. Moreover, the divestiture to an operator active only at the wholesale stage will deprive the commitment of impact on the production and marketing of plaster bricks, a sector affected by the anti-competitive effects of the transaction, favoring only a specific operator at the downstream distribution stage, on which the transaction has no effect.</w:t>
      </w:r>
    </w:p>
    <w:p>
      <w:r>
        <w:t>10. Finally, the divestiture of the Saint-Laurent-des-Autels site concerns an asset that has been inactive since 2010 and for which neither viability nor competitiveness has been established. Furthermore, the market test tends to show that the capacities and production costs of this site, as well as its location, would not allow a potential buyer to supply the Aquitaine region under economically viable conditions.</w:t>
      </w:r>
    </w:p>
    <w:p>
      <w:r>
        <w:t>11. Therefore, the proposal for commitments of March 29, 2013, does not resolve the serious doubts regarding the anti-competitive effects of the transaction. It is therefore necessary to initiate a detailed examination, in accordance with III of Article L. 430-5 of the Commercial Code.</w:t>
      </w:r>
    </w:p>
    <w:p>
      <w:r>
        <w:t xml:space="preserve">DECIDES  </w:t>
        <w:br/>
        <w:t>Single Article: The transaction notified under number 12-210 is subject to a detailed examination under the conditions provided for in Article L. 430-6 of the Commercial Code.</w:t>
      </w:r>
    </w:p>
    <w:p>
      <w:r>
        <w:t xml:space="preserve">The President,  </w:t>
        <w:br/>
        <w:t xml:space="preserve">Bruno Lasserre  </w:t>
        <w:br/>
        <w:t xml:space="preserve">© Competition Authority  </w:t>
        <w:br/>
        <w:t>1 Guidelines of the Competition Authority regarding the control of concentrations of December 16, 2009, §528 and 531.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