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https://www.autoritedelaconcurrence.fr/fr/decision-de-controle-des-concentrations/relative-la-prise-de-controle-exclusif-dactifs-de-la</w:t>
      </w:r>
    </w:p>
    <w:p>
      <w:r>
        <w:t>Pages translated : 16</w:t>
      </w:r>
    </w:p>
    <w:p/>
    <w:p>
      <w:r>
        <w:rPr>
          <w:b/>
        </w:rPr>
        <w:t>[Pages 1–3]</w:t>
      </w:r>
    </w:p>
    <w:p>
      <w:r>
        <w:t xml:space="preserve">FRENCH REPUBLIC  </w:t>
        <w:br/>
        <w:t xml:space="preserve">Decision No. 11-DCC-189 of December 9, 2011  </w:t>
        <w:br/>
        <w:t xml:space="preserve">regarding the exclusive control of assets of SeaFrance  </w:t>
        <w:br/>
        <w:t xml:space="preserve">and LD Lines by DFDS  </w:t>
        <w:br/>
        <w:t xml:space="preserve">The Competition Authority,  </w:t>
        <w:br/>
        <w:t xml:space="preserve">Having regard to the notification file submitted to the merger service on October 17, 2011, and declared complete on November 18, 2011, regarding the exclusive control by DFDS of certain asset elements of SeaFrance formalized by a takeover bid dated July 26, 2011, and improved on October 20, 2011, and of certain asset elements of LD Lines formalized by a memorandum of understanding signed between DFDS and LDA on July 26, 2011;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DFDS group is owned 36% by the Lauritzen Foundation and 31% by the A.P Moller-Maersk group, with the remainder corresponding to floating capital. DFDS is controlled by the Lauritzen Foundation in accordance with the provisions of the shareholders' agreement concluded with the A.P Moller-Maersk group in 2009 during DFDS's acquisition of Norfolk1. DFDS is a Danish operator active in the maritime transport sector in Northern Europe. DFDS, through its subsidiary DFDS Seaways, owns and operates 2 passenger transport routes (Copenhagen-Oslo and Amsterdam-Newcastle) and 16 freight and passenger transport routes across three geographical areas: the North Sea (9 routes), the Baltic Sea (6 routes), and the Channel (one route, Dover-Dunkirk).  </w:t>
        <w:br/>
        <w:t>1 See the European Commission decision COMP/M.5756 DFDS/NORFOLK of June 17, 2010.</w:t>
      </w:r>
    </w:p>
    <w:p>
      <w:r>
        <w:t xml:space="preserve">2. LD Lines is a 100% subsidiary of Louis Dreyfus Armateurs (hereinafter "LDA"). It is active in maritime transport of passengers and freight. LD Lines operates on the Marseille-Tunis, Le Havre-Portsmouth, Dieppe-Newhaven, and Gijon-Saint-Nazaire routes. The LD Lines fleet consists of six ships. LD Transmanche Ferries, a 100% subsidiary of LD Lines, operates the Dieppe-Newhaven route under a public service delegation.  </w:t>
        <w:br/>
        <w:t xml:space="preserve">3. SeaFrance is a 100% subsidiary of SNCF, operating a fleet of four ships that provide crossings between France and England for the transport of passengers and freight. SeaFrance operates on the Calais-Dover route.  </w:t>
        <w:br/>
        <w:t xml:space="preserve">4. The notified operation consists of DFDS acquiring exclusive control, on the one hand, of the assets of SeaFrance, within the framework of a takeover bid submitted to the Paris Commercial Court on July 26, 2011, and improved on October 20, 2011, following the judicial recovery procedure opened on June 30, 2010, and on the other hand, of LD Lines within the framework of a memorandum of understanding signed between DFDS and LDA on July 26, 2011.  </w:t>
        <w:br/>
        <w:t xml:space="preserve">5. This operation is more precisely structured as follows:  </w:t>
        <w:br/>
        <w:t xml:space="preserve">- creation of a holding company owned […] % by DFDS and […] % by LDA and its subsidiary, SPC;  </w:t>
        <w:br/>
        <w:t xml:space="preserve">- acquisition by SPC of the SeaFrance assets,  </w:t>
        <w:br/>
        <w:t xml:space="preserve">- contribution by DFDS to SPC of the assets corresponding to the operation of passenger and freight transport activities on the Dover-Dunkirk route.  </w:t>
        <w:br/>
        <w:t xml:space="preserve">- contribution by LDA to SPC of LD Lines.  </w:t>
        <w:br/>
        <w:t xml:space="preserve">6. Regarding DFDS's exclusive control, the memorandum of understanding provides that the holding company and SPC will both be managed by a board of directors composed of five members, including three representatives from DFDS and two representatives from LDA. The chairman of the board will be appointed by DFDS. All decisions will be made by simple majority within the board, except for a limited number of decisions2 that will require the agreement of a representative from each of the two shareholders. The veto rights granted to LDA do not pertain to the determination of the strategy of the holding company or that of SPC and do not exceed what is normally granted to minority shareholders to protect their financial interests. Consequently, DFDS will hold exclusive control over the holding company and SPC and thus over the assets of LD Lines and SeaFrance.  </w:t>
        <w:br/>
        <w:t xml:space="preserve">7. Regarding the uniqueness of the operation, the parties indicate that the agreements were concluded simultaneously and that the memorandum of understanding signed between LDA and DFDS organizes the terms of acquisition of both LD Lines and DFDS assets as well as SeaFrance assets. The contribution by LDA and DFDS of their assets to SPC is therefore conditioned by the acquisition of SeaFrance assets. The parties have indeed committed:  </w:t>
        <w:br/>
        <w:t xml:space="preserve">- within the framework of "phase 1" of the operation, to establish the holding company and SPC and to submit a takeover bid for the SeaFrance assets before the Paris Commercial Court,  </w:t>
        <w:br/>
        <w:t xml:space="preserve">2 The memorandum of understanding lists (Article 3.3.(2)) the decisions concerned by these veto rights:  </w:t>
        <w:br/>
        <w:t xml:space="preserve">- any issuance of shares or convertible securities,  </w:t>
        <w:br/>
        <w:t xml:space="preserve">- any modification of the memorandum of understanding or the articles of association of the companies,  </w:t>
        <w:br/>
        <w:t xml:space="preserve">- the approval of the terms and conditions of contracts concluded between the holding company and SPC with the companies of DFDS and LDA,  </w:t>
        <w:br/>
        <w:t xml:space="preserve">- the purchase and/or sale of shares or other securities, financial instruments, or obligations of any companies outside the Holding Company or SPC,  </w:t>
        <w:br/>
        <w:t xml:space="preserve">- the appointment (or dismissal) of auditors,  </w:t>
        <w:br/>
        <w:t xml:space="preserve">- any advance payment of any loan granted by a company of the DFDS group or the LDA group, except for simultaneous payments made to each Party pro rata to the amount lent by each of the Parties respectively; and  </w:t>
        <w:br/>
        <w:t xml:space="preserve">- submission to a liquidation procedure, judicial recovery, or restructuring or any other similar action.  </w:t>
        <w:br/>
        <w:t>2</w:t>
      </w:r>
    </w:p>
    <w:p>
      <w:r>
        <w:t xml:space="preserve">- within the framework of "phase 2" of the operation, and subject to the decision of the Paris Commercial Court to accept their takeover bid, to proceed with the contributions to SPC of the LD Lines assets and the DFDS assets.  </w:t>
        <w:br/>
        <w:t xml:space="preserve">8. Consequently, and in accordance with the Commission's consolidated communication, the operations are interdependent and constitute a single concentration by which DFDS proceeds with the acquisition of exclusive control of the SeaFrance assets and the LD Lines assets.  </w:t>
        <w:br/>
        <w:t xml:space="preserve">9. The companies concerned achieved together a consolidated turnover excluding taxes on a global scale of more than 150 million euros in the last closed financial year (Lauritzen Foundation: […] billion euros for the 2010 financial year; LD Lines assets: […] million euros for the same financial year3 and SeaFrance assets: […] million euros). At least two of these companies achieved, in France, a turnover exceeding 50 million euros (Lauritzen Foundation: […] million euros for the 2010 financial year; SeaFrance assets: […] million euros for the same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10. The activities of the parties to the operation overlap in the markets for freight transport services and passenger transport between England and continental Europe. The DFDS group also offers services performed in terminals, logistics services, and a transport commissioning activity, activities located upstream of the markets in which the new entity will be active.  </w:t>
        <w:br/>
        <w:t xml:space="preserve">A. THE MARKETS FOR PASSENGER TRANSPORT BETWEEN ENGLAND AND CONTINENTAL EUROPE  </w:t>
        <w:br/>
        <w:t xml:space="preserve">1. PRODUCT MARKET  </w:t>
        <w:br/>
        <w:t xml:space="preserve">11. In its previous decisions4, the European Commission found that the leisure passenger market and the business passenger market were distinct, as these two groups of travelers have different requirements: business travelers seek speed, comfort, and frequency, while those traveling for leisure place more importance on price.  </w:t>
        <w:br/>
        <w:t xml:space="preserve">3 The turnover of the parties was calculated using a method similar to that used by the European Commission in its decision COMP/M.4439 Ryanair / Aer Lingus of June 27, 2007, namely the allocation "of turnover according to a 50/50 percentage to the country of origin and the final destination country to take into account the cross-border nature of the service provided ("50/50 method")".  </w:t>
        <w:br/>
        <w:t xml:space="preserve">4 See in particular the European Commission decisions 1999/421/EC of January 26, 1999, relating to a procedure for the application of Article 85 of the EC Treaty (Case IV/36.253, P&amp;O/Stena Line), COMP/M.2838 of August 7, 2002 P&amp;O/Stena Lines holding limited, and COMP/M.5756 of June 17, 2010 DFDS/Norfolk.  </w:t>
        <w:br/>
        <w:t>3</w:t>
      </w:r>
    </w:p>
    <w:p>
      <w:r>
        <w:rPr>
          <w:b/>
        </w:rPr>
        <w:t>[Pages 4–6]</w:t>
      </w:r>
    </w:p>
    <w:p>
      <w:r>
        <w:t>12. Regarding passengers traveling for leisure who are to be transported on short-distance cross-Channel routes, the Commission considered that the "Le Shuttle" service (a shuttle service in the Channel Tunnel) offered by Eurotunnel and the maritime transport services by ferries were substitutable and thus part of the same product market. The Commission, on the other hand, considered that Eurostar did not belong to the relevant market since for most passengers traveling by ferry, boarding their vehicle is of major importance, a service that Eurostar does not provide.</w:t>
      </w:r>
    </w:p>
    <w:p>
      <w:r>
        <w:t>13. All competitors and almost all customers confirm that this market definition is still relevant. More specifically regarding the competitive pressure exerted by passenger transport via the Channel Tunnel, most respondents believe that this pressure does indeed exist in the short-distance cross-Channel area while being more limited in other areas.</w:t>
      </w:r>
    </w:p>
    <w:p>
      <w:r>
        <w:t>14. There is no reason, in this case, to challenge these market delimitations.</w:t>
      </w:r>
    </w:p>
    <w:p>
      <w:r>
        <w:t>2. GEOGRAPHICAL MARKETS</w:t>
      </w:r>
    </w:p>
    <w:p>
      <w:r>
        <w:t>15. The Commission examined passenger transport services between continental Europe and England and found that due to their number, frequency, crossing time, and price, the routes operated in the Pas-de-Calais are not substitutable with the routes of the Western Channel or those of the North Sea, except for the specific case of the Newhaven-Dieppe and Ramsgate-Ostend routes, which have relatively short travel times and could therefore be included in the short-distance cross-Channel traffic market.</w:t>
      </w:r>
    </w:p>
    <w:p>
      <w:r>
        <w:t>16. The Commission therefore identified three geographical markets:</w:t>
        <w:br/>
        <w:t>- The short-distance cross-Channel area, including the links between England and France or Belgium of short distance, that is to say, the Pas-de-Calais routes (between Dover, Folkestone, Ramsgate, and Newhaven on one side and Calais, Dieppe, Boulogne, and Dunkirk on the other) and the services crossing the "Belgian Strait" (Ramsgate-Ostend);</w:t>
        <w:br/>
        <w:t>- The North Sea, including the maritime routes between the ports on the East Coast of England, the ports of Belgium and the Netherlands;</w:t>
        <w:br/>
        <w:t>- The Western Channel, including the maritime routes connecting the ports on the South Coast of England and those on the northern coasts of France (located further south than the Pas-de-Calais).</w:t>
      </w:r>
    </w:p>
    <w:p>
      <w:r>
        <w:t>17. However, it estimated that transport operations carried out on the Western Channel and the North Sea were constrained by competition from services offered in the short-distance cross-Channel area, but that the reverse was not true, these markets being characterized by asymmetric substitutability. The market test confirmed this analysis.</w:t>
      </w:r>
    </w:p>
    <w:p>
      <w:r>
        <w:t>The Commission therefore analyzed the passenger transport markets for leisure travel in the following areas: "short-distance cross-Channel area," "Western Channel + short-distance cross-Channel area," "North Sea + short-distance cross-Channel area." In this case, the parties' activities only overlap in the first two areas.</w:t>
      </w:r>
    </w:p>
    <w:p>
      <w:r>
        <w:t>18. Regarding the specific case of the Newhaven-Dieppe and Ramsgate-Ostend routes, their inclusion in the relevant areas is debated by market players:</w:t>
        <w:br/>
        <w:t>- Compared to the routes in the short-distance cross-Channel area from the Pas-de-Calais, both Newhaven-Dieppe and Ramsgate-Ostend are longer crossings. Thus, while the Dover-Calais crossing takes 80 to 90 minutes by ferry, the Coquelles-Folkestone crossing by Le Shuttle takes about 35 minutes and the Dover-Dunkirk crossing takes 120 minutes, the Newhaven-Dieppe and Ramsgate-Ostend crossings take 240 minutes. Furthermore, the frequencies offered on these two routes are much lower than those offered on the Pas-de-Calais routes;</w:t>
        <w:br/>
        <w:t>- Compared to the Western Channel area, the Le Havre-Portsmouth, Cherbourg-Portsmouth, or Caen-Portsmouth routes are not far from the Newhaven-Dieppe route, and the crossing times offered by all these routes are similar (195 minutes for Le Havre-Portsmouth, 180 minutes for Cherbourg-Portsmouth, 345 minutes for Caen-Portsmouth compared to 240 minutes for Newhaven-Dieppe);</w:t>
        <w:br/>
        <w:t>- Compared to other routes in the North Sea area, the Ramsgate-Ostend route is much faster (the only other crossing between Belgium and England is the Zeebrugge-Hull route, which has a crossing time of 840 minutes, and the shortest crossing time is the Harwich-Hoek van Holland route, which takes 390 minutes).</w:t>
      </w:r>
    </w:p>
    <w:p>
      <w:r>
        <w:t>19. In this case, the question of the geographical segmentation of the passenger transport market for leisure travel between England and continental Europe can, however, be left open insofar as the conclusions of the competitive analysis remain unchanged regardless of the hypothesis adopted.</w:t>
      </w:r>
    </w:p>
    <w:p>
      <w:r>
        <w:t>B. THE FREIGHT TRANSPORT MARKETS BETWEEN ENGLAND AND CONTINENTAL EUROPE</w:t>
      </w:r>
    </w:p>
    <w:p>
      <w:r>
        <w:t>1. PRODUCT MARKET</w:t>
      </w:r>
    </w:p>
    <w:p>
      <w:r>
        <w:t>20. The parties offer unitized freight services (as opposed to bulk goods) between the United Kingdom and continental Europe. For transport, unitized goods come in various forms: trucks accompanied by a driver, unaccompanied trailers, or containers.</w:t>
      </w:r>
    </w:p>
    <w:p>
      <w:r>
        <w:t>21. These goods can be transported between England and continental Europe either by sea, on roll-on/roll-off ferries (ro-ro ships for roll-on/roll-off or ro-pax ships that also carry passengers) or on lift-on/lift-off ships or via the Channel Tunnel, by Le Shuttle freight services and freight trains. The parties consider that the freight transport market should include all these means of transport.</w:t>
      </w:r>
    </w:p>
    <w:p>
      <w:r>
        <w:t>22. The Commission had not distinguished, in its initial decisions, between the different means of transport, considering a single market for freight transport between England and continental Europe. Since then, it has questioned, in the DFDS/Norfolk decision, the relevance of a segmentation between transport by "ro-ro" ships (including "ro-pax" ships) and transport by "lo-lo" ships, while leaving this question open. The question of the inclusion of freight transport on cruise ships has also been raised.</w:t>
      </w:r>
    </w:p>
    <w:p>
      <w:r>
        <w:t>23. The market test conducted in connection with this operation does not provide a conclusive answer to these questions. From a demand perspective, the different modes of transport present different characteristics without the effect of these differences on their substitutability being able to be specified. Certain products such as pipes, cars, or wood cannot be transported in containers. Transport by "ro-ro" is often faster, which can be a key factor for transporting perishable goods. The length of the journeys, and thus the geographical areas, also determine the choice of ship type: transport by accompanied trucks is too expensive on the long routes of the Western Channel and the North Sea for which unaccompanied roll-on/roll-off traffic and lift-on/lift-off type transport solutions are preferred. In contrast, the fast crossings of the short-distance cross-Channel area are favorable for transport subject to time constraints and attract most of the accompanied roll-on/roll-off traffic. In any case, the parties are only present in the freight transport market by "ro-ro" and have provided their market shares in this segment. In the absence of competition issues, the question of a possible delimitation of the markets according to the types of ships used can be left open.</w:t>
      </w:r>
    </w:p>
    <w:p>
      <w:r>
        <w:t>24. The OFT also questioned a possible segmentation of the market between accompanied unitized freight and unaccompanied unitized freight. In this case, and insofar as the operation particularly concerns the short-distance cross-Channel area, almost all traffic in this area consists of accompanied freight, and this distinction would not affect the competitive analysis.</w:t>
      </w:r>
    </w:p>
    <w:p>
      <w:r>
        <w:t>25. Furthermore, the market test confirmed the analysis conducted in previous decisions regarding the competitive pressure between rail transport and maritime transport, with Eurotunnel's Le Shuttle service being considered a direct competitor of maritime operators active in the freight transport market between England and the continent.</w:t>
      </w:r>
    </w:p>
    <w:p>
      <w:r>
        <w:t>26. The question of the segmentation of the freight transport market can, however, be left open insofar as the results of the competitive analysis are not affected.</w:t>
      </w:r>
    </w:p>
    <w:p>
      <w:r>
        <w:rPr>
          <w:b/>
        </w:rPr>
        <w:t>[Pages 7–9]</w:t>
      </w:r>
    </w:p>
    <w:p>
      <w:r>
        <w:t xml:space="preserve">2. GEOGRAPHICAL MARKETS  </w:t>
        <w:br/>
        <w:t xml:space="preserve">27. As with passenger transport, different geographical delimitations have been considered in previous decisions regarding the freight transport market connecting England to the European continent, either by considering the routes of the short-distance cross-Channel area, the Western Channel routes, and the North Sea routes as three distinct markets, or by noting that competition occurred between the Western Channel routes and the short-distance cross-Channel routes on the one hand, and between the latter and the North Sea routes on the other hand, or by adopting a global market encompassing all connections between England and continental Europe.  </w:t>
        <w:br/>
        <w:t xml:space="preserve">28. In this case, since the competitive analysis remains unchanged regardless of the delimitation adopted, the question of the geographical definition of the freight transport markets between England and the European continent can be left open. The parties' activities overlap only in the short-distance cross-Channel area, and the analysis will be conducted on this area and on the same area extended to the North Sea, as well as on a global England-continental Europe market.  </w:t>
        <w:br/>
        <w:t xml:space="preserve">C. THE MARKET FOR SERVICES PERFORMED IN TERMINALS  </w:t>
        <w:br/>
        <w:t xml:space="preserve">29. The market for services performed in terminals has been defined by the European Commission as that of handling and storage services for freight, including (i) loading and unloading services for ships and (ii) transshipment. The Commission further considered, on the one hand, that terminals operated in shallow water ("short-sea terminal") should be distinguished from terminals located in deep water ("deep-sea terminal") and, on the other hand, that a distinction should be made between terminals for "ro-ro" ships and terminals for "lo-lo" ships.  </w:t>
        <w:br/>
        <w:t xml:space="preserve">30. Regarding the geographical definition of the market, the Commission has sometimes adopted a very broad definition of the market (corresponding to the catchment area between Northern Europe and the Mediterranean) but has also analyzed the market in its narrowest geographical dimension, namely the catchment area of the port in question, while leaving the question open.  </w:t>
        <w:br/>
        <w:t xml:space="preserve">31. The exact delimitation of the market for services performed in terminals, as well as the question of the geographical dimension of this market, can also be left open in this case, as the conclusions of the competitive analysis remain unchanged regardless of the hypothesis adopted.  </w:t>
        <w:br/>
        <w:t xml:space="preserve">D. THE LOGISTICS MARKET  </w:t>
        <w:br/>
        <w:t xml:space="preserve">32. French decision-making practice has defined logistics services as involving "the various links in a supply chain for goods between a point of origin and a point of arrival, in order to optimally manage the flow and storage of said goods. This activity can be likened to a global offer, as it combines a set of services such as, in particular, storage, inventory management, order taking, and the transport of goods at a time and place defined by the client." While it is not necessary to segment the logistics services market by product category, as the majority of logistics operators can easily adapt to the supply and demand requirements regardless of the product category, the existence of distinct markets for certain products that require special handling, such as "cold chain" products, has been recognized.  </w:t>
        <w:br/>
        <w:t xml:space="preserve">33. Regarding the geographical definition of the market, both national and community decision-making practice has considered that the logistics services market is of national dimension, given the existing regulatory and linguistic constraints. However, concerning "cold chain" products, national competition authorities have retained a regional dimension.  </w:t>
        <w:br/>
        <w:t xml:space="preserve">34. The exact delimitation of the logistics market, as well as the question of the geographical dimension of this market, can nevertheless be left open as the conclusions of the competitive analysis remain unchanged regardless of the hypothesis adopted.  </w:t>
        <w:br/>
        <w:t xml:space="preserve">E. THE TRANSPORT COMMISSIONING MARKET  </w:t>
        <w:br/>
        <w:t xml:space="preserve">35. According to the French and European competition authorities, the activity of transport commissioning (or "freight forwarding") is defined as "the organization of the transport of goods (which may include, in addition to the transport itself, various other services, such as customs clearance or warehousing) on behalf of clients according to their needs." Within transport commissioning, the competition authorities have already considered a finer segmentation of this market according to (i) the mode of transport used, whether by air, sea, or land (including rail and road transport) or according to (ii) the national or international nature of the transport.  </w:t>
        <w:br/>
        <w:t xml:space="preserve">36. The European Commission considers that the transport commissioning market has a national geographical dimension, particularly given the existence of linguistic and regulatory barriers, although it does not exclude a broader definition at the level of the European Economic Area.  </w:t>
        <w:br/>
        <w:t xml:space="preserve">37. In this case, the question of the segmentation of this market, as well as that of its geographical delimitation, can be left open as the conclusions of the competitive analysis remain unchanged regardless of the hypothesis adopted.  </w:t>
        <w:br/>
        <w:t xml:space="preserve">III. Competitive Analysis  </w:t>
        <w:br/>
        <w:t xml:space="preserve">A. HORIZONTAL EFFECTS  </w:t>
        <w:br/>
        <w:t xml:space="preserve">38. The operation results in overlaps of activity in the passenger and freight transport markets between England and continental Europe.  </w:t>
        <w:br/>
        <w:t xml:space="preserve">39. The new entity will be active on the following routes: Dover-Dunkirk (currently operated by DFDS), Dover-Calais (currently operated by SeaFrance), Newhaven-Dieppe (currently operated by LD Lines), and Portsmouth-Le Havre (currently operated by LD Lines). The Dover-Dunkirk and Dover-Calais routes are part of the short-distance cross-Channel area. The Portsmouth-Le Havre route is included in the Western Channel area. As for the Newhaven-Dieppe route, its affiliation with either of these two areas is debated. The analysis will therefore be conducted in either case. The parties' activities thus overlap in the "short-distance cross-Channel" and "Western Channel + short-distance cross-Channel" areas.  </w:t>
        <w:br/>
        <w:t xml:space="preserve">1. ON THE PASSENGER TRANSPORT MARKETS BETWEEN ENGLAND AND CONTINENTAL EUROPE  </w:t>
        <w:br/>
        <w:t>40. The market shares of the parties and their main competitors are, in these areas:</w:t>
      </w:r>
    </w:p>
    <w:p>
      <w:r>
        <w:rPr>
          <w:b/>
        </w:rPr>
        <w:t>[Pages 10–12]</w:t>
      </w:r>
    </w:p>
    <w:p>
      <w:r>
        <w:t>Manche West +</w:t>
        <w:br/>
        <w:t>Short-distance cross-Channel zone short-distance cross-Channel zone</w:t>
        <w:br/>
        <w:t>With Ramsgate-Ostend Without Ramsgate-Ostend</w:t>
        <w:br/>
        <w:t>With Without</w:t>
        <w:br/>
        <w:t>With Without With Without</w:t>
        <w:br/>
        <w:t>Ramsgate Ramsgate</w:t>
        <w:br/>
        <w:t>Newhaven Newhaven Newhaven Newhaven</w:t>
        <w:br/>
        <w:t>-Ostend -Ostend</w:t>
        <w:br/>
        <w:t>Dieppe Dieppe Dieppe Dieppe</w:t>
        <w:br/>
        <w:t>LD Lines [0-5] % na [0-5] % na [0-5] % [0-5] %</w:t>
        <w:br/>
        <w:t>SeaFrance [10-20] % [10-20] % [10-20] % [10-20] % [10-20] % [10-20] %</w:t>
        <w:br/>
        <w:t>Transferred DFDS assets [10-20] % [10-20] % [10-20] % [10-20] % [10-20] % [10-20] %</w:t>
        <w:br/>
        <w:t>Total Parties [20-30] % [20-30] % [20-30] % [20-30] % [20-30] % [20-30] %</w:t>
        <w:br/>
        <w:t>P&amp;O [30-40] % [30-40] % [30-40] % [30-40] % [30-40] % [30-40] %</w:t>
        <w:br/>
        <w:t>Eurotunnel [30-40] % [30-40] % [30-40] % [30-40] % [30-40] % [30-40] %</w:t>
        <w:br/>
        <w:t>TransEuropa Ferries32 [0-5] % [0-5] % na na [0-5] % na</w:t>
        <w:br/>
        <w:t>Brittany Ferries na na na na [10-20] % [10-20] %</w:t>
        <w:br/>
        <w:t>Condor na na na na [0-5] % [0-5] %</w:t>
        <w:br/>
        <w:t>41. Thus, in the passenger transport market, the new entity will hold a market share between [20-30] % and [20-30] % depending on the selected areas and will remain, in any case, the third player behind the companies P&amp;O and Eurotunnel.</w:t>
        <w:br/>
        <w:t>42. The short-distance cross-Channel zone is currently characterized by the existence of significant overcapacities held both by the parties and by P&amp;O and Eurotunnel33. While the operation may lead to a reduction in the capacities of the new entity (non-acquisition of the SeaFrance Molière ship and reorganization of capacities34), overall capacities should be maintained as P&amp;O is currently launching new superferries and Eurotunnel indicates that the frequency of shuttles for passenger transport will soon increase from 3 to 4 per hour to 5 per hour. The existence of significant available capacities promotes, as the Commission has already noted in this market, vigorous competition among operators and the disappearance of a supplier will not have a negative impact on price levels in this context. Furthermore, it should be noted that, regardless of the delimitation of the relevant markets, the operation does not concern the closest suppliers, and the number of suppliers on the Calais-Dover route remains equal to three (including Eurotunnel), with DFDS and LD Lines not being present on this route.</w:t>
        <w:br/>
        <w:t>43. Therefore, the concentration is not likely to harm competition in the passenger transport sector in the short-distance cross-Channel zone or in the "Manche West + short-distance cross-Channel zone" through horizontal effects.</w:t>
        <w:br/>
        <w:t>32 Parties' estimate: for this competitor, the parties estimated its position based on the observation that the capacities of TransEuropa Ferries on the Ramsgate-Ostend route are similar to those of LD Lines on the Dieppe-Newhaven route. Indeed, both operators operate ships with comparable capacities and operate their vessels at the same frequencies.</w:t>
        <w:br/>
        <w:t>33 The occupancy rates of the ships are specified in the section on coordinated effects.</w:t>
        <w:br/>
        <w:t>34 The business plan established by the acquirers provides for the deployment of the three acquired SeaFrance ships on the Dover-Calais and Dover-Dunkirk routes:</w:t>
        <w:br/>
        <w:t>- the Nord-Pas-de-Calais ship will be transferred to the Dover-Dunkirk route and its rotations on this route will be increased,</w:t>
        <w:br/>
        <w:t>- a Ro-Pax ship currently operated by DFDS on the Dover-Dunkirk route will be transferred to the Dover-Calais route,</w:t>
        <w:br/>
        <w:t>- the Berlioz and Rodin ships will be maintained on the Dover-Calais route.</w:t>
        <w:br/>
        <w:t>The takeover offer presented by DFDS and LDA does not include the ship Le Molière. The parties indicate that they do not have information on the fate of this ship. In the event of the withdrawal of this ship from the short-distance cross-Channel zone, it would lead to a reduction in overcapacities in this area, but the parties indicate that these would still remain significant.</w:t>
        <w:br/>
        <w:t>10</w:t>
      </w:r>
    </w:p>
    <w:p>
      <w:r>
        <w:t>2. ON THE FREIGHT TRANSPORT MARKETS BETWEEN ENGLAND AND CONTINENTAL EUROPE</w:t>
        <w:br/>
        <w:t>44. The activities of the parties overlap, according to the geographical definition of the markets retained, in the short-distance cross-Channel zone, the "Manche West + short-distance cross-Channel zone" or in a global market for connections between England and continental Europe.</w:t>
        <w:br/>
        <w:t>45. The market shares of the parties and their main competitors in these areas35:</w:t>
        <w:br/>
        <w:t>Manche West +</w:t>
        <w:br/>
        <w:t>Short-distance cross-Channel zone short-distance cross-Channel zone Anglo-</w:t>
        <w:br/>
        <w:t>With Ramsgate-Ostend Without Ramsgate-Ostend continental</w:t>
        <w:br/>
        <w:t>With Without</w:t>
        <w:br/>
        <w:t>With Without With Without</w:t>
        <w:br/>
        <w:t>Ramsgate Ramsgate</w:t>
        <w:br/>
        <w:t>Newhaven Newhaven Newhaven Newhaven</w:t>
        <w:br/>
        <w:t>-Ostend -Ostend</w:t>
        <w:br/>
        <w:t>-Dieppe -Dieppe -Dieppe -Dieppe</w:t>
        <w:br/>
        <w:t>LD Lines [0-5] % na [0-5] % na [0-5] % [0-5] % [0-5] %</w:t>
        <w:br/>
        <w:t>SeaFrance [10-20] % [10-20] % [10-20] % [10-20] % [10-20] % [10-20] % [10-20] %</w:t>
        <w:br/>
        <w:t>Transferred DFDS assets [10-20] % [10-20] % [10-20] % [10-20] % [10-20] % [10-20] % [10-20] %</w:t>
        <w:br/>
        <w:t>Total Parties [30-40] % [30-40] % [30-40] % [30-40] % [30-40] % [30-40] % [20-30] %</w:t>
        <w:br/>
        <w:t>P&amp;O [30-40] % [30-40] % [30-40] % [30-40] % [30-40] % [30-40] % [30-40] %</w:t>
        <w:br/>
        <w:t>Eurotunnel [30-40] % [30-40] % [30-40] % [30-40] % [30-40] % [30-40] % [20-30] %</w:t>
        <w:br/>
        <w:t>TransEuropa Ferries36 [0-5] % [0-5] % na na [0-5] % na [0-5] %</w:t>
        <w:br/>
        <w:t>Brittany Ferries na na na na [5-10] % [5-10] % [0-5] %</w:t>
        <w:br/>
        <w:t>DFDS Seaways na na na na na na [0-5] %</w:t>
        <w:br/>
        <w:t>Stena na na na na na na [5-10] %</w:t>
        <w:br/>
        <w:t>Mann Lines na na na na na na [0-5] %</w:t>
        <w:br/>
        <w:t>46. Thus, in the freight transport market, the new entity will hold a market share between [30-40] % and [30-40] % depending on the selected areas in the "short-distance cross-Channel" and "Manche West + short-distance cross-Channel" segments and approximately [20-30] % in the Anglo-continental zone. It will not, in any case, be the leading player in any of these areas. It will remain slightly behind Eurotunnel and will be on par with P&amp;O. In a broader area than the short-distance cross-Channel zone, other operators are present such as Stena, Brittany Ferries, Condor, Cobelfret, etc.</w:t>
        <w:br/>
        <w:t>47. The analysis developed above for passenger transport is also applicable to freight transport. In particular, due to the significant overcapacities that currently exist, strong competition is currently taking place among operators and this should not be undermined by the operation37. This analysis is shared by most of the players interviewed in the context of the market test.</w:t>
        <w:br/>
        <w:t>35 IRN Freight Ferrystat data from December 2010, parties' estimates and responses from competitors in the market test. Some data are, however, missing and the parties were unable to assess the volumes of unitized freight transported by certain competitors such as FinnLines (present in the North Sea), Celtic (present in the Manche West), Cobelfret (present in the North Sea), etc. Nevertheless, these players are active (although weakly in terms of the quantities transported in the short-distance cross-Channel zone). The market shares of the parties and their main competitors are therefore slightly overestimated in the "Manche West + short-distance cross-Channel" and Anglo-continental areas.</w:t>
        <w:br/>
        <w:t>36 Parties' estimate cf. the explanation on the passenger transport market.</w:t>
        <w:br/>
        <w:t>37 See the developments on the passenger transport market and the developments in the section on coordinated effects.</w:t>
        <w:br/>
        <w:t>11</w:t>
      </w:r>
    </w:p>
    <w:p>
      <w:r>
        <w:t>48. Therefore, the concentration is not likely to harm competition in the freight transport sector between England and continental Europe through horizontal effects.</w:t>
        <w:br/>
        <w:t>B. COORDINATED EFFECTS</w:t>
        <w:br/>
        <w:t>49. In accordance with Community case law38 and the decision-making practice of national competition authorities39, a transaction can also change the nature of competition in the market such that companies that previously did not coordinate their behavior are much more likely to do so or, if they were already coordinating their behaviors, can do so more easily. Such effects are possible when, in an oligopolistic market or in a highly concentrated market, a concentration operation results in each member of the concerned oligopoly becoming aware of common interests, making it economically rational and therefore preferable for each to adopt a sustained common course of action in the market in order to sell above competitive prices, without needing to conclude an agreement or resort to a concerted practice within the meaning of Articles L. 420-1 of the Commercial Code or 101 TFEU, and without current or potential competitors, or customers and consumers, being able to react effectively.</w:t>
        <w:br/>
        <w:t>50. Coordination is more likely in markets where it is relatively simple to achieve a mutual understanding of its terms of operation. Furthermore, three cumulative conditions must be met for coordination to be sustainable: (i) a sufficient degree of market transparency allowing each oligopolist to know the behavior of each of the other members to ensure that none deviates from it (detection condition); (ii) a sustainability of coordination due to a threat of retaliation encouraging each oligopolist not to deviate from the common course of action (deterrence condition); and (iii) an absence of effective challenge to the coordination by current and potential competitors and by consumers (non-contestation condition).</w:t>
        <w:br/>
        <w:t>51. In this case, the three main players (P&amp;O, Eurotunnel, and DFDS/SeaFrance/LD Lines) holding together, after the operation, a cumulative market share of approximately 90 % in certain markets and segments of freight and passenger transport for leisure travel, it is necessary to determine whether the criteria set by case law are met in these markets.</w:t>
        <w:br/>
        <w:t>1. ON THE PASSENGER TRANSPORT MARKETS</w:t>
        <w:br/>
        <w:t>52. In the P&amp;O/Stena Lines decisions, the Commission examined the risks of creating or strengthening a collective dominant position between, at the time, P&amp;O and Eurotunnel in the passenger transport market for leisure travel in the short-distance cross-Channel zone. However, several characteristics of the market appeared to make coordination unlikely: the asymmetry of market shares between Eurotunnel and P&amp;O, the</w:t>
      </w:r>
    </w:p>
    <w:p>
      <w:r>
        <w:rPr>
          <w:b/>
        </w:rPr>
        <w:t>[Pages 13–15]</w:t>
      </w:r>
    </w:p>
    <w:p>
      <w:r>
        <w:t>difference between the cost structures of the players, and the existence of available capacities. It also noted the entry of a new operator (Norfolkline).</w:t>
      </w:r>
    </w:p>
    <w:p>
      <w:r>
        <w:t>53. In this case, if the operation leads to greater symmetry in market shares of the new entity, Eurotunnel, and P&amp;O, two of the factors mentioned above remain.</w:t>
      </w:r>
    </w:p>
    <w:p>
      <w:r>
        <w:t>54. The first is the difference in cost structure. The European Commission noted that Eurotunnel and P&amp;O offered transport services that had different characteristics and were therefore exposed to different cost factors. The operating costs of the Le Shuttle service were thus at a lower level than those of P&amp;O and significantly lower than those of Stena.</w:t>
      </w:r>
    </w:p>
    <w:p>
      <w:r>
        <w:t>55. The parties consider that the evolution of the market has not challenged this situation, but rather accentuated it, particularly due to the tightening of regulations on carbon emissions and the increase in fuel prices that impact only maritime operators (whose ships operate exclusively on heavy fuel oil) and not Eurotunnel, which operates exclusively electric locomotives on the fixed link under the Channel. Eurotunnel also emphasizes this point, which highlights the differences between itself and maritime operators: "The Eurotunnel transport system uses exclusively decarbonized electricity, a source of energy that emits virtually no greenhouse gases. Independent of fossil hydrocarbons, Eurotunnel's rates will therefore never be affected by fluctuations in fuel prices or by the emergence of environmental taxes that increasingly burden the operating costs of ferries. Not to mention the significant investments that maritime companies will have to make to adapt their propulsion methods to the tightening of regulations on carbon emissions." The reliance of ferry operators on fossil fuels also implies, according to P&amp;O, a high volatility of costs, particularly in reference to the cost of electricity borne by Eurotunnel. Furthermore, regarding port charges, which constitute a significant part of the operating costs of a maritime link, the parties highlight the constant increase in tariffs at the Port of Dover, which, despite the decline in activity in the market, raises the costs for maritime operators to such an extent that operators present at Dover have initiated proceedings against the Dover Harbour Board.</w:t>
      </w:r>
    </w:p>
    <w:p>
      <w:r>
        <w:t>56. Moreover, there are also differentiation factors between ferry operators. Indeed, some maritime operators operating under the French flag, such as SeaFrance and LD Lines, benefit from direct or indirect aids, including reduced social charges for maritime personnel, exemption from fuel taxes, etc. The significant fluctuations that have affected the exchange rate between the pound sterling and the euro are also a differentiating factor between operators whose income statement is denominated in euros (such as SeaFrance, LD Lines, or Eurotunnel) and those whose accounts are denominated in pounds (such as P&amp;O).</w:t>
      </w:r>
    </w:p>
    <w:p>
      <w:r>
        <w:t>57. Consequently, there remains a significant asymmetry in terms of cost structure between Eurotunnel and P&amp;O and the new entity. However, as indicated by the Commission, companies with differing cost structures are less likely to act in parallel. This asymmetry indeed makes it difficult for operators to define a collusive equilibrium, as they may find it more challenging to reach a common understanding of coordination modalities.</w:t>
      </w:r>
    </w:p>
    <w:p>
      <w:r>
        <w:t>58. Secondly, and as already mentioned above, the different market players still have significant reserves of capacity. Thus, the load factors for DFDS are approximately [40-50]% for passenger traffic and [60-70]% for freight traffic on the Dover-Dunkirk route. For LD Lines, they are approximately [40-50]% for passenger traffic and [50-60]% for freight traffic on the Dieppe-Newhaven route. These overcapacities also exist during the high season (August), with DFDS indicating that its load factor does not exceed [50-60]% at that time. The parties specify that even during peak periods, the very high frequency of crossings (24 for DFDS, 120 for Eurotunnel, and about 40 for P&amp;O per day) allows customers to easily find a crossing by slightly adjusting their departure time.</w:t>
      </w:r>
    </w:p>
    <w:p>
      <w:r>
        <w:t>59. In the recent decision of the Commission regarding the restructuring aid for SeaFrance, the following details on the utilization rates of the capacities of different maritime operators are provided: "[...] This level of load factor, close to [80]%, has never been reached by SeaFrance. Between 2000 and 2010, load factors above [close to 80]% were only achieved in 2000 (79.1%) and 2007 ([&lt;85]%). For other years, the rates are below [75-80]% and drop to [65-70]%. [...] Furthermore, SeaFrance's direct competitors also do not seem to be able to reach these rates according to estimates provided by the French authorities in the note of May 4, 2011 (maximum load factor: [70-80]% for P&amp;O, [50-60]% for DFDS). These coefficients seem all the more optimistic as the freight transport market across the Strait appears to be experiencing overcapacities given the load factor levels presented by the players present in the Strait."</w:t>
      </w:r>
    </w:p>
    <w:p>
      <w:r>
        <w:t>60. Eurotunnel also indicates in its recent reference documents that the load factor of its passenger shuttles reached 60% in 2008, 54% in 2009, and 55% in 2010, while that of its truck shuttles was 76% in 2008 and 52% in 2009.</w:t>
      </w:r>
    </w:p>
    <w:p>
      <w:r>
        <w:t>61. If the possible non-acquisition of SeaFrance Molière negatively affects the available capacities on the short-distance cross-Channel area (a decrease of 6 to 7% of the total available capacities in the short-distance cross-Channel area according to the parties), the overcapacities will still remain significant. Indeed, the competitors surveyed indicate that they have large available capacities. P&amp;O specifically states that it will increase its capacities by 10-20% at the beginning of 2012 as it will launch a new ship, the "Spirit of France," which will allow it to more easily respond to any increase in demand. Eurotunnel indicates, on the one hand, that the capacity of the Channel Tunnel is only utilized at 57% (including maintenance), which allows for the absorption of significant additional traffic without any investment being necessary, and on the other hand, that P&amp;O has acquired two large-capacity superferries. Eurotunnel also plans to soon increase its departures from 3 to 4 per hour for passenger shuttles to 5 departures per hour. Furthermore, competitors specify that currently, the cessation of SeaFrance's activity has been absorbed without difficulty, without impacting the quality of services offered and without price increases by other operators.</w:t>
      </w:r>
    </w:p>
    <w:p>
      <w:r>
        <w:t>62. As noted by the Commission, the existence of large excess capacities does not favor the coordination of behavior among different operators: "A ferry operator has every interest in maximizing the capacity of each ship to lower unit costs. It must therefore set prices in a way that maximizes revenue from the level of capacity it chooses to operate [...]. Prices can be adjusted more quickly and flexibly than capacities. Companies facing excess capacity will normally be tempted to lower prices to utilize this excess capacity."</w:t>
      </w:r>
    </w:p>
    <w:p>
      <w:r>
        <w:t>63. The operation is therefore not likely to harm competition through coordinated effects in the passenger transport market in the short-distance cross-Channel area.</w:t>
      </w:r>
    </w:p>
    <w:p>
      <w:r>
        <w:t>2. ON THE FREIGHT TRANSPORT MARKETS</w:t>
      </w:r>
    </w:p>
    <w:p>
      <w:r>
        <w:t>64. Similarly to the passenger transport market, the operation will result in a symmetry of market shares of the new entity, Eurotunnel, and P&amp;O in the freight transport market in the short-distance cross-Channel area, including Newhaven-Dieppe and Ramsgate-Ostend.</w:t>
      </w:r>
    </w:p>
    <w:p>
      <w:r>
        <w:t>65. However, as developed for passenger transport, the existence of overcapacities in the freight transport markets and the differences in cost structures between Eurotunnel make the risk of coordination of behaviors in this market implausible.</w:t>
      </w:r>
    </w:p>
    <w:p>
      <w:r>
        <w:t>66. Moreover, the relevance, in the freight market, of a zone restricted to short-distance cross-Channel links is more limited than for passenger transport, and the presence on other Anglo-continental routes of operators active in both passenger and freight transport, such as Stena, Brittany Ferries, as well as operators specialized in freight such as Cobelfret or Man Lines, constitutes a destabilizing factor for any potential coordination.</w:t>
      </w:r>
    </w:p>
    <w:p>
      <w:r>
        <w:t>67. Furthermore, it appears that the freight market is not very transparent as prices are almost all negotiated individually between the operator and the road carrier, and no pricing grid is available. Some clients also indicate that they have a certain negotiating power vis-à-vis maritime operators, which these operators confirm.</w:t>
      </w:r>
    </w:p>
    <w:p>
      <w:r>
        <w:t>68. Finally, the barriers to entry are considered to be lower in the freight transport market than in the passenger transport market, particularly due to the lower cost of boats, the less seasonal nature of demand, and the lower marketing costs.</w:t>
      </w:r>
    </w:p>
    <w:p>
      <w:r>
        <w:t>69. The operation is therefore not likely to harm competition through coordinated effects in the freight transport market in the short-distance cross-Channel area.</w:t>
      </w:r>
    </w:p>
    <w:p>
      <w:r>
        <w:rPr>
          <w:b/>
        </w:rPr>
        <w:t>[Pages 16–16]</w:t>
      </w:r>
    </w:p>
    <w:p>
      <w:r>
        <w:t>C. VERTICAL EFFECTS</w:t>
      </w:r>
    </w:p>
    <w:p>
      <w:r>
        <w:t>70. Only the DFDS group is present in the terminal services, transport commissioning, and logistics services markets. Neither SeaFrance nor the LDA assets are active in these markets.</w:t>
      </w:r>
    </w:p>
    <w:p>
      <w:r>
        <w:t>71. The vertical integration of a company or its strengthening can harm competition when it holds, in one or more of the relevant markets, substantial market power that can serve as a leverage point (either in the upstream market for input locking and in the downstream market for customer locking). The Authority considers that it is unlikely that a company with a market share of less than 30% in a given market could lock a downstream or upstream market.</w:t>
      </w:r>
    </w:p>
    <w:p>
      <w:r>
        <w:t>72. However, the parties specify that, regardless of the market definition adopted, DFDS's market shares in these upstream markets will be very low and well below 25%. Thus:</w:t>
        <w:br/>
        <w:t>- regarding the market for services offered in terminals, the parties indicate that this is primarily an internal use of these services by DFDS and that DFDS's market shares are therefore below 5% regardless of the market definition adopted;</w:t>
        <w:br/>
        <w:t>- regarding the transport commissioning market, the parties indicate that DFDS's market shares are below 2% regardless of the domestic market considered and 1% in the cross-border market (notably the England/France market);</w:t>
        <w:br/>
        <w:t>- finally, regarding the logistics services market, the parties indicate that this is a very limited activity for DFDS, with market shares below 1% regardless of the relevant market definition.</w:t>
      </w:r>
    </w:p>
    <w:p>
      <w:r>
        <w:t>73. The operation is therefore not likely to harm competition through vertical effects.</w:t>
      </w:r>
    </w:p>
    <w:p>
      <w:r>
        <w:t>DECIDES</w:t>
      </w:r>
    </w:p>
    <w:p>
      <w:r>
        <w:t>Sole Article: The operation notified under number 11-186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