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https://www.autoritedelaconcurrence.fr/fr/decision-de-controle-des-concentrations/relative-la-prise-de-controle-exclusif-dactifs-dedies</w:t>
      </w:r>
    </w:p>
    <w:p>
      <w:r>
        <w:t>Pages translated : 2</w:t>
      </w:r>
    </w:p>
    <w:p/>
    <w:p>
      <w:r>
        <w:rPr>
          <w:b/>
        </w:rPr>
        <w:t>[Pages 1–2]</w:t>
      </w:r>
    </w:p>
    <w:p>
      <w:r>
        <w:t xml:space="preserve">French Republic  </w:t>
        <w:br/>
        <w:t xml:space="preserve">Decision No. 21-DCC-251 of December 10, 2021  </w:t>
        <w:br/>
        <w:t xml:space="preserve">regarding the exclusive control acquisition of assets dedicated to the operation of  </w:t>
        <w:br/>
        <w:t>nineteen business assets under the NYX Professional Makeup brand by the company CSP</w:t>
      </w:r>
    </w:p>
    <w:p>
      <w:r>
        <w:t xml:space="preserve">The Competition Authority,  </w:t>
        <w:br/>
        <w:t xml:space="preserve">Having regard to the complete notification file sent to the mergers department on  </w:t>
        <w:br/>
        <w:t xml:space="preserve">November 25, 2021, concerning the exclusive control acquisition of assets dedicated to the operation of nineteen business assets under the NYX Professional Makeup brand by the company CSP, formalized by three business asset transfer agreements dated October 1, 26, and 27, 2021;  </w:t>
        <w:br/>
        <w:t xml:space="preserve">Having regard to Book IV of the Commercial Code relating to the freedom of prices and competition, and in particular its Articles L. 430-1 to L. 430-7;  </w:t>
        <w:br/>
        <w:t xml:space="preserve">Having regard to the elements transmitted by the notifying party during the investigation;  </w:t>
        <w:br/>
        <w:t xml:space="preserve">Adopts the following decision:  </w:t>
        <w:br/>
        <w:t xml:space="preserve">1. The notified operation consists of the exclusive control acquisition by the company CSP, controlled by the investment fund Core Equity Holdings, of assets dedicated to the operation of nineteen business assets under the NYX Professional Makeup brand. Both parties are active in the retail distribution sector of cosmetic products. The operation constitutes a concentration operation within the meaning of Article L. 430-1 of the Commercial Code. Given the turnover achieved by the concerned companies,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21-252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