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https://www.autoritedelaconcurrence.fr/fr/decision-de-controle-des-concentrations/relative-la-prise-de-controle-exclusif-dactifs-des-groupes</w:t>
      </w:r>
    </w:p>
    <w:p>
      <w:r>
        <w:t>Pages translated : 11</w:t>
      </w:r>
    </w:p>
    <w:p/>
    <w:p>
      <w:r>
        <w:rPr>
          <w:b/>
        </w:rPr>
        <w:t>[Pages 1–3]</w:t>
      </w:r>
    </w:p>
    <w:p>
      <w:r>
        <w:t xml:space="preserve">FRENCH REPUBLIC  </w:t>
        <w:br/>
        <w:t xml:space="preserve">Decision No. 10-DCC-83 of July 27, 2010  </w:t>
        <w:br/>
        <w:t>relating to the exclusive control of certain assets of the Transdev and Veolia Transport groups by the RATP group</w:t>
      </w:r>
    </w:p>
    <w:p>
      <w:r>
        <w:t xml:space="preserve">The Competition Authority,  </w:t>
        <w:br/>
        <w:t xml:space="preserve">Having regard to the notification file submitted in full to the merger service on June 21, 2010, relating to the exclusive control of certain assets of the Transdev and Veolia Transport groups by the RATP group, formalized by a transfer protocol dated May 4,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COMPANIES  </w:t>
        <w:br/>
        <w:t xml:space="preserve">1. THE RATP GROUP  </w:t>
        <w:br/>
        <w:t xml:space="preserve">1. The Régie Autonome des Transports Parisiens (“RATP”) was created by Law No. 48-506 of March 21, 1948, relating to the reorganization and coordination of passenger transport in the Paris region. Under Article 7 of said law, RATP is responsible for the “operation of the public transport networks of the city of Paris, and the department of Seine, and the lines of Seine-et-Oise and Seine-et-Marne previously granted or leased to the Metropolitan Railway Company or to the Company of public transport of the Paris region.” This mission has also been reaffirmed by Ordinance No. 59-151 of January 7, 1959, relating to the organization of passenger transport in Ile-de-France.  </w:t>
        <w:br/>
        <w:t xml:space="preserve">2. The RATP group is notably designated by the STIF (Syndicat des transports d'Ile-de-France, which is the organizing authority for transport in Ile-de-France) to manage the metro (16 lines) and other urban transport of Paris and its nearby suburbs: buses (351 lines), tramway (3 lines), and part of lines A and B of the RER.  </w:t>
        <w:br/>
        <w:t xml:space="preserve">3. The RATP group has furthermore diversified since the adoption of Law No. 2000-1208 of December 13, 2000, relating to solidarity and urban renewal (SRU), authorizing it to create subsidiaries to construct, develop, and operate transport lines and networks outside Ile-de-France. The activities of the RATP group are now organized around three main sectors:  </w:t>
        <w:br/>
        <w:t xml:space="preserve">- the transport sector, which represents [...]% of the group's total revenue. Within this first set, passenger transport in Ile-de-France still currently represents a predominant share. The RATP group also operates urban transport networks in Annemasse and La Roche-sur-Yon as well as interurban transport lines through the company Cars Jacquemard in Eure. Furthermore, the RATP group is also present in several member states of the European Union (notably in Italy), as well as in Algeria, Morocco, South Africa, Brazil, and the United States.  </w:t>
        <w:br/>
        <w:t xml:space="preserve">- the engineering sector, which represents [...]% of the total revenue of RATP;  </w:t>
        <w:br/>
        <w:t xml:space="preserve">- the space valuation sector, which represents [...]% of the total revenue of RATP. This sector is dedicated to the management and valuation of the group's real estate assets.  </w:t>
        <w:br/>
        <w:t xml:space="preserve">4. It should be noted that, prior to the present operation, RATP holds a 25.6% stake in the capital of Transdev.  </w:t>
        <w:br/>
        <w:t>5. The total worldwide revenue excluding taxes generated by the RATP group as of December 31, 2009, the last closed fiscal year, amounts to 4.432 billion euros, of which 4.333 billion euros was generated within the European Union, including 4.294 billion euros in France.</w:t>
      </w:r>
    </w:p>
    <w:p>
      <w:r>
        <w:t xml:space="preserve">2. THE ASSETS ACQUIRED BY RATP  </w:t>
        <w:br/>
        <w:t xml:space="preserve">6. The assets over which RATP will take exclusive control at the end of the present operation are being transferred, on the one hand, by the Transdev group and, on the other hand, by the Veolia Transport group.  </w:t>
        <w:br/>
        <w:t xml:space="preserve">7. The assets transferred by Transdev correspond to the companies Moulins Mobilités and Vienne Mobilités, active in the urban passenger transport market respectively in Allier and Isère. In the interurban passenger transport sector, the transfer also concerns the company Alpbus Fournier in Haute-Savoie as well as the company Champagne Mobilités present notably in Marne and Aube.  </w:t>
        <w:br/>
        <w:t xml:space="preserve">8. Regarding the assets transferred by Veolia Transport, under the present operation, the RATP group will obtain exclusive control:  </w:t>
        <w:br/>
        <w:t xml:space="preserve">- in the urban passenger transport sector: of Veolia Transport Urbain Bourges (Cher), Veolia Transport Urbain Vierzon (Cher), and Veolia Transport Roanne (Loire);  </w:t>
        <w:br/>
        <w:t xml:space="preserve">- in the interurban passenger transport sector: of Veolia Transport Centre (Cher and Indre), the Société des Transports Départementaux de la Marne (Marne), as well as the establishments attached to Veolia Transport RAI: Collonges and La Roche sur Foron (Haute-Savoie), Izeure and Montluçon (Allier).  </w:t>
        <w:br/>
        <w:t>9. Furthermore, RATP will acquire certain assets from the Veolia Transport and Transdev groups in the United Kingdom, Italy, and Switzerland.</w:t>
      </w:r>
    </w:p>
    <w:p>
      <w:r>
        <w:t>10. The total worldwide revenue excluding taxes generated by all the assets transferred by the Transdev and Veolia Transport groups to RATP amounts, in 2009, to 361 million euros, of which 347 million euros was generated within the European Union, including 69 million euros in France.</w:t>
      </w:r>
    </w:p>
    <w:p>
      <w:r>
        <w:t xml:space="preserve">B. THE OPERATION  </w:t>
        <w:br/>
        <w:t xml:space="preserve">11. Under the transfer protocol, it is provided that RATP will exit the capital of Transdev in exchange for the transfer of a set of French and international assets (United Kingdom, Italy, and Switzerland) belonging to the Transdev and Veolia Transport groups. It is provided for this purpose that the assets of Veolia Transport will be previously acquired, for a reasonable period, by Transdev from Veolia Transport1. These assets will then be transferred to RATP.  </w:t>
        <w:br/>
        <w:t xml:space="preserve">12. RATP's exit from the capital of Transdev will involve the following steps:  </w:t>
        <w:br/>
        <w:t xml:space="preserve">- Financiere Transdev and Transdev will first be subject to a merger by absorption of the former by the latter;  </w:t>
        <w:br/>
        <w:t xml:space="preserve">- Transdev must acquire the shares representing the entirety of the capital of the target companies Veolia Transport, intended to be transferred to RATP (certain assets of Veolia Transport that were previously establishments will be previously incorporated into subsidiaries);  </w:t>
        <w:br/>
        <w:t xml:space="preserve">- Transdev will proceed with an unequal reduction of its capital at the end of which all shares of Transdev held by RATP will be canceled;  </w:t>
        <w:br/>
        <w:t xml:space="preserve">- finally, Transdev will transfer to RATP the shares representing the entirety of the capital of the target companies initially held by Transdev and Veolia Transport.  </w:t>
        <w:br/>
        <w:t xml:space="preserve">13. Thus, at the end of the operation, RATP must acquire the assets mentioned in paragraphs 7 to 9.  </w:t>
        <w:br/>
        <w:t>14. Regarding multiple acquisitions, the European Commission specifies in its consolidated communication2 that these can be assimilated to a single concentration when “Company A takes control in parallel of Companies B and C which are owned by distinct sellers, provided that A will not be obliged to purchase these two companies and that the two sellers will only be obliged to sell if both operations succeed.” In this case, the operations of RATP's acquisition of assets from the Veolia Transport and Transdev groups, which are provided for in the same agreement, occur as a global counterparty to RATP's exit from the capital of Transdev. Consequently, it should be considered that RATP's acquisition of assets from Veolia Transport and Transdev constitutes a single concentration operation.</w:t>
      </w:r>
    </w:p>
    <w:p>
      <w:r>
        <w:t xml:space="preserve">* * *  </w:t>
        <w:br/>
        <w:t xml:space="preserve">15. Insofar as it results in the exclusive control by the RATP group of certain assets of the Transdev and Veolia Transport groups, the notified operation constitutes a concentration within the meaning of Article L. 430-1 of the Commercial Code. Given the revenues of the concerned companies, it does not have a community dimension. On the other hand, the control thresholds mentioned in Article L. 430-2 of the Commercial Code are exceeded.  </w:t>
        <w:br/>
        <w:t xml:space="preserve">1 In exchange for a seller's credit claim to be held by Veolia Transport on Transdev  </w:t>
        <w:br/>
        <w:t>2 Consolidated communication on the Commission's jurisdiction under Council Regulation (EC) No. 139/2004 on the control of concentrations between enterprises, paragraph 46.</w:t>
      </w:r>
    </w:p>
    <w:p>
      <w:r>
        <w:rPr>
          <w:b/>
        </w:rPr>
        <w:t>[Pages 4–6]</w:t>
      </w:r>
    </w:p>
    <w:p>
      <w:r>
        <w:t>être laissée ouverte.</w:t>
      </w:r>
    </w:p>
    <w:p>
      <w:r>
        <w:t>32. En effet, l’Autorité de la concurrence a noté que, bien que les services de transport occasionnel et à la demande, ainsi que les services de transport scolaire, soient souvent fournis par les mêmes opérateurs que ceux du transport interurbain régulier, il existe des différences notables dans la nature de ces services et dans la manière dont ils sont organisés.</w:t>
      </w:r>
    </w:p>
    <w:p>
      <w:r>
        <w:t>33. Par conséquent, il est pertinent d'examiner si ces services doivent être considérés comme un marché distinct ou s'ils peuvent être intégrés dans un marché plus large du transport interurbain routier de voyageurs.</w:t>
      </w:r>
    </w:p>
    <w:p>
      <w:r>
        <w:t>34. En conclusion, l'analyse des effets de la présente opération sur le marché du transport interurbain routier de voyageurs hors Ile-de-France devra tenir compte de ces éléments afin de déterminer si la concentration envisagée pourrait nuire à la concurrence sur ce marché.</w:t>
      </w:r>
    </w:p>
    <w:p>
      <w:r>
        <w:rPr>
          <w:b/>
        </w:rPr>
        <w:t>[Pages 7–9]</w:t>
      </w:r>
    </w:p>
    <w:p>
      <w:r>
        <w:t xml:space="preserve">however remain open on the occasion of this decision as the competitive analysis remains unchanged.  </w:t>
        <w:br/>
        <w:t xml:space="preserve">32. Furthermore, in its decision No. 10-DCC-02, the Competition Authority highlighted the existence of road transport linked to rail transport, namely:  </w:t>
        <w:br/>
        <w:t xml:space="preserve">- road transport "assimilated to rail services," which includes on the one hand, temporary road services organized to ensure the continuity of public service in the event of disruption of rail transport and on the other hand "mixed road services" organized alternately with a rail service when the line's ridership is low;  </w:t>
        <w:br/>
        <w:t xml:space="preserve">- road transport "substituting for rail services" established for the replacement of a complete TER line.  </w:t>
        <w:br/>
        <w:t xml:space="preserve">33. Aside from the temporary road services established exceptionally by SNCF, mixed and substitution services are organized by the region, which may choose to mandate SNCF to award these contracts. In all cases, the awarding procedure provides for competition among operators through calls for tenders. These road services are intended to supplement rail transport and could, therefore, be assimilated to rail services. However, insofar as these services do not fall under the operating monopoly of SNCF, they are accessible to all road carriers active in interurban transport. As such, they present characteristics that allow for the consideration of attaching these services to the market for road transport.  </w:t>
        <w:br/>
        <w:t xml:space="preserve">34. In this case, since the RATP group does not engage in road transport activities linked to rail transport, this operation does not result in any overlap in this potential market. Thus, the question of whether road transport services linked to rail transport constitute a distinct market or whether they should be attached to the interurban road transport market may remain open, as regardless of the hypothesis adopted, the conclusions of the competitive analysis will remain unchanged.  </w:t>
        <w:br/>
        <w:t xml:space="preserve">B. GEOGRAPHICAL MARKETS  </w:t>
        <w:br/>
        <w:t xml:space="preserve">1. THE MARKET FOR URBAN PUBLIC PASSENGER TRANSPORT OUTSIDE ILE-DE-FRANCE  </w:t>
        <w:br/>
        <w:t xml:space="preserve">35. In the aforementioned opinion, the Authority noted that the allotment of urban networks, according to modes of transport or by geographical sector, could stimulate competition. Indeed, it could allow the entry of new players, particularly local ones, into the urban public transport markets.  </w:t>
        <w:br/>
        <w:t xml:space="preserve">36. However, it has been considered by decision-making practice that competition for public urban transport markets is primarily exercised among all companies present at the national level. Indeed, when local authorities delegate the operation of urban passenger transport services, they organize calls for tenders to which all national operators can respond, especially since the operating equipment often remains the property of the local authority and the operating personnel is taken over by the new holder of the delegation. It has also been noted that the publication of calls for tenders in limited circulation newspapers, very short deadlines for responding to complex offers, or the publication in the French language represent obstacles to the entry of foreign operators into the French market.  </w:t>
        <w:br/>
        <w:t xml:space="preserve">37. In this case, there is no need to challenge the geographical delimitation retained so far. The analysis of the urban public transport market will be conducted at the national level.  </w:t>
        <w:br/>
        <w:t xml:space="preserve">2. THE MARKET FOR INTERURBAN ROAD PASSENGER TRANSPORT OUTSIDE ILE-DE-FRANCE  </w:t>
        <w:br/>
        <w:t xml:space="preserve">38. The decision-making practice of national and community competition authorities recognizes a market for interurban road passenger transport outside Ile-de-France as being at most of national dimension. It appears that the possession of vehicle depots as well as their adequate location in relation to the lines put out to competition is a determining factor in the competitiveness of the submitted offers (this point has also been verified by the market test conducted on the occasion of this operation). For this reason, the main operators in this market are large French carriers but also SMEs or groups of small interurban operators located locally. National competition authorities have thus not excluded that the market for interurban road passenger transport outside Ile-de-France could be of local dimension, generally analyzing it at the departmental level.  </w:t>
        <w:br/>
        <w:t xml:space="preserve">39. In this case, in accordance with the previous practice of national competition authorities, the market for interurban road passenger transport outside Ile-de-France will be analyzed at the departmental level as well as at the national level.  </w:t>
        <w:br/>
        <w:t xml:space="preserve">III. Competitive Analysis  </w:t>
        <w:br/>
        <w:t xml:space="preserve">40. As a preliminary point, it should be noted that the Veolia Transport and Transdev groups notified their merger to the European Commission on June 25, 2010, an operation likely to significantly alter the competitive structure of the markets concerned by this operation.  </w:t>
        <w:br/>
        <w:t xml:space="preserve">A. THE MARKET FOR URBAN PUBLIC PASSENGER TRANSPORT OUTSIDE ILE-DE-FRANCE  </w:t>
        <w:br/>
        <w:t xml:space="preserve">41. In the market for urban transport outside Ile-de-France, the RATP group is present on the Annemasse network (Haute-Savoie), which it has operated since 2002. It can be specified that its contract was renewed at the end of November 2007 for eight years starting from January 1, 2008. Furthermore, RATP won the La Roche-sur-Yon network (Vendée) in October 2009, which it has operated since January 1, 2010, for a duration of seven years.  </w:t>
        <w:br/>
        <w:t xml:space="preserve">42. Following this operation, the RATP group will also be present on the networks of Bourges (via the acquisition of Veolia Transport Urbain Bourges), Vierzon (via the acquisition of Veolia Transport Urbain Vierzon), Roanne (via the acquisition of Veolia Transport Roanne), Moulins (via the acquisition of Moulins Mobilités), and Vienne (via the acquisition of Vienne Mobilités).  </w:t>
        <w:br/>
        <w:t xml:space="preserve">43. Thus, concerning urban public passenger transport outside Ile-de-France, once the operation is completed, the market share of the RATP group in value will rise, according to its estimates, to [0-5]%, of which [0-5]% corresponds to assets from Veolia Transport and [0-5]% corresponds to assets from Transdev.  </w:t>
        <w:br/>
        <w:t xml:space="preserve">44. If we consider the number of networks, RATP's market share will reach, after the operation, [0-5]% of the urban public passenger transport market outside Ile-de-France with a total of 7 networks managed. Finally, if we consider the number of trips, the market share of the new entity will be less than [0-5]%.  </w:t>
        <w:br/>
        <w:t xml:space="preserve">45. Furthermore, the RATP group will continue to face competition from Keolis (whose market share is estimated at [20-30]% in terms of the number of networks and [30-40]% in terms of the number of trips), as well as from the Veolia Transport group ([20-30]% market share expressed in terms of the number of networks and [10-20]% in terms of the number of trips) and Transdev ([10-20]% market share expressed in terms of the number of networks and [20-30]% in terms of the number of trips), which are planning their merger.  </w:t>
        <w:br/>
        <w:t xml:space="preserve">46. Given the above, this operation is not likely to harm competition in the market for urban public passenger transport outside Ile-de-France.  </w:t>
        <w:br/>
        <w:t xml:space="preserve">B. THE MARKET FOR INTERURBAN ROAD PASSENGER TRANSPORT OUTSIDE ILE-DE-FRANCE  </w:t>
        <w:br/>
        <w:t xml:space="preserve">47. In the market for interurban road passenger transport outside Ile-de-France, the RATP group is only present in Eure through the company Cars Jacquemard, which it acquired in 2008.  </w:t>
        <w:br/>
        <w:t xml:space="preserve">48. Following this operation, the RATP group will also be present in the departments of Cher and Indre (via the acquisition of Veolia Transport Centre), Aube (via the acquisition of Champagne Mobilités), Marne (via the acquisition of the Société des Transports Départementaux de la Marne and Champagne Mobilités), Haute-Savoie (via the acquisition of establishments linked to Veolia Transport RAI and Alpbus Fournier), and Allier (via the acquisition of establishments linked to Veolia Transport RAI (Izeure and Montluçon).  </w:t>
        <w:br/>
        <w:t xml:space="preserve">1. AT THE DEPARTMENTAL LEVEL  </w:t>
        <w:br/>
        <w:t>49. It should be specified that the market shares provided by the parties have been calculated based on the number of vehicles registered in each department, published by the Ministry of Transport in the passenger register (in terms of the number of community licenses).</w:t>
      </w:r>
    </w:p>
    <w:p>
      <w:r>
        <w:rPr>
          <w:b/>
        </w:rPr>
        <w:t>[Pages 10–11]</w:t>
      </w:r>
    </w:p>
    <w:p>
      <w:r>
        <w:t>50. At the departmental level, in the market for intercity road passenger transport outside Ile-de-France, this operation does not result in any overlap between the RATP's own activities (present only in Eure) and the assets acquired from the Transdev and Veolia Transport groups (corresponding to the departments of Cher, Indre, Marne, Aube, Allier, and Haute-Savoie). However, as it results in the acquisition, within the same department, of activities previously carried out by Transdev on one hand and Veolia Transport on the other, it is necessary to analyze the effects of the operation for the department concerned in terms of horizontal effects analysis. Given the scope of the acquired assets, the departmental markets for intercity road passenger transport in Haute-Savoie and Marne are thus concerned.</w:t>
      </w:r>
    </w:p>
    <w:p>
      <w:r>
        <w:t xml:space="preserve">a) Haute-Savoie  </w:t>
        <w:br/>
        <w:t xml:space="preserve">51. In the departmental market for intercity road passenger transport in Haute-Savoie, the RATP group will hold, following the proposed operation, a market share of [10-20]%, corresponding to the cumulative market shares of the assets transferred by Veolia Transport13 ([5-10]% market share) and Transdev14 ([0-5]% market share).  </w:t>
        <w:br/>
        <w:t>52. Furthermore, the RATP group will continue to face competition from the Veolia Transport group (whose market share is estimated at [20-30]%) and Transdev15 ([10-20]% market share) which are planning their merger, as well as from the numerous independent carriers in the Haute-Savoie department, notably the Société Annemassienne de Transport (whose market share is estimated at [20-30]%).</w:t>
      </w:r>
    </w:p>
    <w:p>
      <w:r>
        <w:t xml:space="preserve">b) Marne  </w:t>
        <w:br/>
        <w:t xml:space="preserve">53. In the departmental market for intercity road passenger transport in Marne, the RATP group will hold, following the proposed operation, a market share of [40-50]%, corresponding to the cumulative market shares of the assets transferred by Veolia Transport16 ([30-40]% market share) and Transdev17 ([10-20]% market share).  </w:t>
        <w:br/>
        <w:t xml:space="preserve">54. RATP, a new entrant in the intercity road transport markets outside Ile-de-France through an acquisition in Eure in 2008 and the present operation, will have to face, during the re-competition of the lines for which it has obtained contracts, operators capable of exerting significant competitive pressure.  </w:t>
        <w:br/>
        <w:t xml:space="preserve">55. The new entity will face competition from the Veolia Transport and Transdev groups which are planning their merger. Veolia Transport is a powerful group in the intercity transport market with over 8,000 vehicles nationwide. The Transdev group is also a significant group, present in over 40 French departments. Both benefit from past experience in the Marne markets where they will retain assets. Veolia Transport will retain the local transport companies such as Rapides de la Meuse, CSQT, and Bus Est Mouveo. Transdev will retain in this department the company Courriers de l’Aube. These subsidiaries of the two groups, taken together, hold [5-10]% market share in Marne.  </w:t>
        <w:br/>
        <w:t xml:space="preserve">13 VT RAI La Roche Sur Foron, VT RAI Collonges, and Voyages Desbiolles.  </w:t>
        <w:br/>
        <w:t xml:space="preserve">14 Alpbus Fournier.  </w:t>
        <w:br/>
        <w:t xml:space="preserve">15 The latter having notified their merger to the European Commission on June 25, 2010, case No. COMP/M.5741.  </w:t>
        <w:br/>
        <w:t xml:space="preserve">16 Société des Transports Départementaux de la Marne.  </w:t>
        <w:br/>
        <w:t>17 Champagne Mobilités.</w:t>
      </w:r>
    </w:p>
    <w:p>
      <w:r>
        <w:t xml:space="preserve">56. RATP will also face competition from independent local carriers, notably the company resulting from the merger of Regnault Autocars and Cars Montmiraillais, whose market share is estimated at [10-20]% in Marne, as well as from the company Autocars Bardy ([5-10]% market share).  </w:t>
        <w:br/>
        <w:t xml:space="preserve">57. Finally, the company Keolis, the second operator in the intercity road passenger transport market in France, backed by the SNCF group and present in 70 departments with over 10,000 buses, constitutes a potential entrant in the Marne markets, likely to exert significant competitive pressure on the RATP group during future calls for tenders.  </w:t>
        <w:br/>
        <w:t>58. Given the competitive environment to which the new entrant RATP will be subjected, this operation is not likely to harm competition through unilateral effects in the intercity transport market of Marne.</w:t>
      </w:r>
    </w:p>
    <w:p>
      <w:r>
        <w:t xml:space="preserve">2. AT THE NATIONAL LEVEL  </w:t>
        <w:br/>
        <w:t xml:space="preserve">59. At the national level, the estimated market share of RATP in intercity road passenger transport outside Ile-de-France is less than [0-5]%18.  </w:t>
        <w:br/>
        <w:t xml:space="preserve">60. Following the operation, the RATP group will also continue to face competition from Keolis as well as from the Veolia Transport and Transdev groups, which notified their merger to the European Commission on June 25, 2010. In addition to the competitive pressure from these nationally significant operators, it is also necessary to consider the pressure that will be exerted by numerous local carriers.  </w:t>
        <w:br/>
        <w:t xml:space="preserve">* * *  </w:t>
        <w:br/>
        <w:t>61. In light of the above, this operation is not likely to harm competition in the market for intercity road passenger transport outside Ile-de-France.</w:t>
      </w:r>
    </w:p>
    <w:p>
      <w:r>
        <w:t xml:space="preserve">DECIDES  </w:t>
        <w:br/>
        <w:t xml:space="preserve">Single Article: The operation notified under number 10-0045 is authorized.  </w:t>
        <w:br/>
        <w:t xml:space="preserve">The President,  </w:t>
        <w:br/>
        <w:t xml:space="preserve">Bruno Lasserre  </w:t>
        <w:br/>
        <w:t xml:space="preserve">Competition Authority  </w:t>
        <w:br/>
        <w:t>18 The market share was established by the notifying party based on the Xerfi study "Road Passenger Transport" of April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