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https://www.autoritedelaconcurrence.fr/fr/decision-de-controle-des-concentrations/relative-la-prise-de-controle-exclusif-dactifs-detenus-0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22-DCC-203 of November 7, 2022  </w:t>
        <w:br/>
        <w:t xml:space="preserve">regarding the exclusive control acquisition of assets held by the company  </w:t>
        <w:br/>
        <w:t xml:space="preserve">Derichebourg Environnement by the company Riva Acier  </w:t>
        <w:br/>
        <w:t>The Competition Authority,</w:t>
      </w:r>
    </w:p>
    <w:p>
      <w:r>
        <w:t xml:space="preserve">Having regard to the complete notification file submitted to the mergers department on October 4, 2022,  </w:t>
        <w:br/>
        <w:t xml:space="preserve">concerning the exclusive control acquisition by the company Riva Acier of certain assets held by the  </w:t>
        <w:br/>
        <w:t>company Derichebourg Environnement, formalized by asset transfer agreements dated June 15,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operation consists of the exclusive control acquisition of certain assets held by the  </w:t>
        <w:br/>
        <w:t xml:space="preserve">company Derichebourg Environnement, present in the waste management sector, by the  </w:t>
        <w:br/>
        <w:t xml:space="preserve">company Riva Acier, active in the steel production sector.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22-189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