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https://www.autoritedelaconcurrence.fr/fr/decision-de-controle-des-concentrations/relative-la-prise-de-controle-exclusif-dactifs-detenus-2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23-DCC-159 of August 16, 2023  </w:t>
        <w:br/>
        <w:t xml:space="preserve">regarding the exclusive control acquisition of assets held by Veolia by  </w:t>
        <w:br/>
        <w:t xml:space="preserve">the company Séché Environnement  </w:t>
        <w:br/>
        <w:t xml:space="preserve">The Competition Authority,  </w:t>
        <w:br/>
        <w:t xml:space="preserve">Having regard to the complete notification file sent to the mergers department on July 26, 2023  </w:t>
        <w:br/>
        <w:t xml:space="preserve">concerning the exclusive control acquisition of assets held by Veolia by the company Séché  </w:t>
        <w:br/>
        <w:t xml:space="preserve">Environnement, formalized by a memorandum of understanding dated July 26,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of assets held by Veolia by the  </w:t>
        <w:br/>
        <w:t xml:space="preserve">company Séché Environnement. It constitutes a concentration operation within the meaning of Article  </w:t>
        <w:br/>
        <w:t xml:space="preserve">L. 430-1 of the Commercial Code. Given the turnover generated by the companies involved, the operation  </w:t>
        <w:br/>
        <w:t xml:space="preserve">does not fall under the jurisdiction of the European Union. On the other hand,  </w:t>
        <w:br/>
        <w:t xml:space="preserve">the control thresholds mentioned in point 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 </w:t>
        <w:br/>
        <w:t xml:space="preserve">in the relevant markets.  </w:t>
        <w:br/>
        <w:t xml:space="preserve">1 The operation follows the acquisition of assets held by Veolia by the company Séché Environnement authorized by the Competition Authority  </w:t>
        <w:br/>
        <w:t xml:space="preserve">(Decision No. 22-DCC-216 of November 14, 2022) - involving the same parties (Séché Environnement, as acquirer and Veolia, as  </w:t>
        <w:br/>
        <w:t xml:space="preserve">seller) within a period of less than two years. It is therefore necessary to take into account the cumulative turnover attached to  </w:t>
        <w:br/>
        <w:t xml:space="preserve">all the divested assets concerning the target. Given this turnover, the present operation constitutes a  </w:t>
        <w:br/>
        <w:t>concentration operation within the meaning of Article L. 430-1 of the Commercial Code.</w:t>
      </w:r>
    </w:p>
    <w:p>
      <w:r>
        <w:t xml:space="preserve">DECIDES  </w:t>
        <w:br/>
        <w:t xml:space="preserve">Sole Article: The operation notified under number 23-174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