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https://www.autoritedelaconcurrence.fr/fr/decision-de-controle-des-concentrations/relative-la-prise-de-controle-exclusif-dactifs-detenus-4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25-DCC-272 of November 14, 2025  </w:t>
        <w:br/>
        <w:t xml:space="preserve">regarding the exclusive control acquisition of assets held by the companies  </w:t>
        <w:br/>
        <w:t xml:space="preserve">Stock J Boutique Jennyfer and Jennyfer Brand by the Beaumanoir group  </w:t>
        <w:br/>
        <w:t xml:space="preserve">The Competition Authority,  </w:t>
        <w:br/>
        <w:t xml:space="preserve">Having regard to the notification file sent to the mergers department on May 21, 2025, and declared  </w:t>
        <w:br/>
        <w:t xml:space="preserve">complete on September 5, 2025, concerning the exclusive control acquisition by the Beaumanoir group  </w:t>
        <w:br/>
        <w:t xml:space="preserve">of assets held by the companies Stock J Boutique Jennyfer and Jennyfer Brand formalized by takeover  </w:t>
        <w:br/>
        <w:t xml:space="preserve">offers dated May 13, 2025, and the judgments of the Commercial Court of Bobigny dated  </w:t>
        <w:br/>
        <w:t xml:space="preserve">June 12,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Beaumanoir group of assets held by the  </w:t>
        <w:br/>
        <w:t xml:space="preserve">companies Stock J Boutique Jennyfer and Jennyfer Brand, consisting of 26 business assets, the  </w:t>
        <w:br/>
        <w:t xml:space="preserve">Jennyfer brands and its domain names. The parties are both active in the ready-to-wear clothing sector. This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25-132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