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https://www.autoritedelaconcurrence.fr/fr/decision-de-controle-des-concentrations/relative-la-prise-de-controle-exclusif-dactifs-detenus-5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26-DCC-82 of March 31, 2026  </w:t>
        <w:br/>
        <w:t xml:space="preserve">regarding the exclusive control acquisition of assets held by Cellnex by  </w:t>
        <w:br/>
        <w:t>Phoenix Tower International Holdco LLC</w:t>
      </w:r>
    </w:p>
    <w:p>
      <w:r>
        <w:t>The Competition Authority,</w:t>
      </w:r>
    </w:p>
    <w:p>
      <w:r>
        <w:t xml:space="preserve">Having regard to the complete notification file submitted to the mergers department on March 4, 2026,  </w:t>
        <w:br/>
        <w:t xml:space="preserve">concerning the exclusive control acquisition by Phoenix Tower International Holdco LLC of assets  </w:t>
        <w:br/>
        <w:t>held by Cellnex, formalized by a transfer agreement dated February 23, 2022, and several reiterative acts;</w:t>
      </w:r>
    </w:p>
    <w:p>
      <w:r>
        <w:t xml:space="preserve">Having regard to Book IV of the Commercial Code relating to the freedom of prices and competition, and  </w:t>
        <w:br/>
        <w:t>notably its Articles L. 430-1 to L. 430-7;</w:t>
      </w:r>
    </w:p>
    <w:p>
      <w:r>
        <w:t>Having regard to the other documents in the file;</w:t>
      </w:r>
    </w:p>
    <w:p>
      <w:r>
        <w:t>Adopts the following decision:</w:t>
      </w:r>
    </w:p>
    <w:p>
      <w:r>
        <w:t xml:space="preserve">1. The notified operation consists of the exclusive control acquisition by Phoenix Tower International  </w:t>
        <w:br/>
        <w:t xml:space="preserve">Holdco LLC of 22 sites of passive mobile telecommunications infrastructure previously held  </w:t>
        <w:br/>
        <w:t xml:space="preserve">by Cellnex located in urban areas. It constitutes a concentration operation within the meaning of  </w:t>
        <w:br/>
        <w:t xml:space="preserve">Article L. 430-1 of the Commercial Code. Given the turnover generated by the companies involved,  </w:t>
        <w:br/>
        <w:t xml:space="preserve">the operation does not fall under the jurisdiction of the European Union. However, the control thresholds  </w:t>
        <w:br/>
        <w:t xml:space="preserve">mentioned in I of Article L. 430-2 of the Commercial Code are exceeded. This operation is therefore  </w:t>
        <w:br/>
        <w:t xml:space="preserve">subject to the provisions of Articles L. 430-3 and following of the Commercial Code relating to  </w:t>
        <w:br/>
        <w:t>economic concentration.</w:t>
      </w:r>
    </w:p>
    <w:p>
      <w:r>
        <w:t xml:space="preserve">2. In light of the elements of the file, the operation is not likely to harm competition in the  </w:t>
        <w:br/>
        <w:t>relevant markets.</w:t>
      </w:r>
    </w:p>
    <w:p>
      <w:r>
        <w:t xml:space="preserve">DECIDES  </w:t>
        <w:br/>
        <w:t xml:space="preserve">Sole Article: The operation notified under number 26-055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