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https://www.autoritedelaconcurrence.fr/fr/decision-de-controle-des-concentrations/relative-la-prise-de-controle-exclusif-dactifs-detenus-par</w:t>
      </w:r>
    </w:p>
    <w:p>
      <w:r>
        <w:t>Pages translated : 6</w:t>
      </w:r>
    </w:p>
    <w:p/>
    <w:p>
      <w:r>
        <w:rPr>
          <w:b/>
        </w:rPr>
        <w:t>[Pages 1–3]</w:t>
      </w:r>
    </w:p>
    <w:p>
      <w:r>
        <w:t>FRENCH REPUBLIC</w:t>
        <w:br/>
        <w:t>Decision No. 22-DCC-176 of October 7, 2022</w:t>
        <w:br/>
        <w:t>regarding the exclusive control of assets held by Cellnex and</w:t>
        <w:br/>
        <w:t>Hivory by Phoenix Tower International Holdco LLC</w:t>
        <w:br/>
        <w:t>The Competition Authority,</w:t>
        <w:br/>
        <w:t>Having regard to the notification file submitted in full to the concentrations service on</w:t>
        <w:br/>
        <w:t>September 2, 2022, concerning the exclusive control by Phoenix Tower International</w:t>
        <w:br/>
        <w:t>Holdco LLC of assets held by Cellnex and Hivory, formalized by a share transfer agreement</w:t>
        <w:br/>
        <w:t>dated March 18, 2022, an asset transfer agreement dated February 23, 2022, and a memorandum</w:t>
        <w:br/>
        <w:t>of understanding dated February 23, 2022;</w:t>
        <w:br/>
        <w:t>Having regard to Book IV of the Commercial Code relating to the freedom of prices and competition, and</w:t>
        <w:br/>
        <w:t>notably its Articles L. 430-1 to L. 430-7;</w:t>
        <w:br/>
        <w:t>Adopts the following decision:</w:t>
      </w:r>
    </w:p>
    <w:p>
      <w:r>
        <w:t>I. The Companies Involved and the Transaction</w:t>
        <w:br/>
        <w:t>1. The Blackstone Group (hereinafter "Blackstone") is an alternative asset manager headquartered in the United States. Listed on the New York Stock Exchange, Blackstone operates as an investment management company. It holds interests in various sectors.</w:t>
        <w:br/>
        <w:t>2. Phoenix Tower International Holdco (hereinafter "PTI"), ultimately controlled by Blackstone, owns, manages, and operates wireless communication infrastructure sites in 18 countries across Latin America, the Caribbean, the United States, and Europe. PTI is active in mainland France through the company PFI 1, jointly controlled with Bouygues Telecom. PTI is also active in the French Antilles and Guyana.</w:t>
        <w:br/>
        <w:t>3. The target assets consist of 1226 passive mobile telecommunications infrastructures currently held by Hivory (hereinafter "the Hivory perimeter"), and 2000 passive mobile telecommunications infrastructures currently held by Cellnex France SAS (hereinafter "the Cellnex perimeter").</w:t>
        <w:br/>
        <w:t>4. The transaction consists, on the one hand, of the acquisition by PTI, through its wholly-owned subsidiary PTI Alligator Bidco, of all the share capital and voting rights of a newly created company by Hivory to which Hivory will have previously contributed the 1226 sites comprising the Hivory perimeter, and on the other hand, of the transfer by Cellnex to the benefit of the company PFI 2, created or acquired by the company PFI 1, itself jointly controlled by PTI and Bouygues Telecom, of the 2000 sites of the Cellnex perimeter.</w:t>
        <w:br/>
        <w:t>5. Although the company PFI 2 is controlled by the company PFI 1 common between PTI and Bouygues Telecom, it appears from the governance and management arrangements of PFI 2, agreed upon between Bouygues Telecom and PTI, that Bouygues Telecom will exercise no control, de jure or de facto, over PFI 2. Indeed, PTI will notably be able to ultimately appoint the President of PFI 2 and adopt strategic decisions concerning PFI 2 notwithstanding Bouygues Telecom's disagreement. PTI will solely make decisions regarding the necessary investments to accommodate third parties on a certain number of sites each year and the decisions regarding the acceptance of rents requested by landlords. Furthermore, Bouygues Telecom will not be able to interfere in the relationships between PFI 2 and third parties. Finally, no de facto control can result from the contractual relationships binding PFI 2 and Bouygues Telecom. The company PFI 2 will thus be exclusively controlled by PTI.</w:t>
        <w:br/>
        <w:t>6. Insofar as it results in the exclusive control by PTI of the target assets, the notified transaction constitutes a concentration within the meaning of Article L. 430-1 of the Commercial Code.</w:t>
        <w:br/>
        <w:t>7. The companies and target assets concerned together achieve a total worldwide turnover of more than 150 million euros (Blackstone: [≥ 150 million euros] for the fiscal year ended December 31, 2020; the target assets: approximately [≤ 150 million] in 2021). The acquirer on the one hand and the target assets on the other hand each achieve, in France, a turnover exceeding 50 million euros (Blackstone: [≥ 50 million euros] for the fiscal year ended December 31, 2020; the target assets: approximately [≥ 50 million] in 20212). Considering these turnovers,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w:t>
        <w:br/>
        <w:t>II. Definition of Relevant Markets</w:t>
        <w:br/>
        <w:t>8. The parties are simultaneously present in the French market for the provision of hosting services for telecommunications equipment for mobile telephony on passive infrastructures.</w:t>
        <w:br/>
        <w:t xml:space="preserve">9. A mobile telecommunications site is composed of: </w:t>
        <w:br/>
        <w:t xml:space="preserve"> on the one hand, so-called "passive" infrastructures, generally consisting of a tower or mast, a technical room, and technical equipment allowing their operation; and </w:t>
        <w:br/>
        <w:t> on the other hand, so-called "active" mobile telephony infrastructures, hosted on the passive infrastructures, allowing the broadcasting of radio communication waves from mobile operators.</w:t>
        <w:br/>
        <w:t>10. The passive infrastructures are installed on a pre-existing land or high point, which can be a flat roof or another tall structure (water tower, church steeple, electric pylon for example), on which the operator of said infrastructures benefits from a right of occupancy.</w:t>
        <w:br/>
        <w:t>11. The passive infrastructures used for hosting mobile telephony equipment, which fall within a distinct market from that of passive infrastructures used for broadcasting audiovisual communication services, are mainly owned or operated, either directly by mobile network operators (MNOs), who are also customers in the market, or by specialized infrastructure operators (also called "Tower Companies" or "TowerCo") such as the parties.</w:t>
        <w:br/>
        <w:t>12. National decision-making practice has distinguished two types of areas in which these infrastructures can be placed: urban areas on the one hand and peri-urban areas on the other hand.</w:t>
      </w:r>
    </w:p>
    <w:p>
      <w:r>
        <w:rPr>
          <w:b/>
        </w:rPr>
        <w:t>[Pages 4–6]</w:t>
      </w:r>
    </w:p>
    <w:p>
      <w:r>
        <w:t>and rural areas on the other hand. This segmentation is justified notably by the predominance of flat roofs in urban areas (more than 65% of active sites) and that of pylons in peri-urban and rural areas (more than 88% of active sites).</w:t>
      </w:r>
    </w:p>
    <w:p>
      <w:r>
        <w:t>13. Decision-making practice has also distinguished between categories of passive infrastructures, which are pylons, flat roofs, and "other" sites. This latter category includes all sites that are neither pylons nor flat roofs.</w:t>
      </w:r>
    </w:p>
    <w:p>
      <w:r>
        <w:t>14. The offer of mobile telephony equipment hosting addressed to MNOs mainly comes either from specialized operators who own or operate passive infrastructures, or from MNOs, who after having built infrastructures for their own needs, open to third-party MNOs the possibility of being hosted on the same site as part of a colocation.</w:t>
      </w:r>
    </w:p>
    <w:p>
      <w:r>
        <w:t>15. In its previous practice, the Authority has considered that the hosting services offered by these two categories of operators fell within two distinct markets. It ultimately left this question open in its most recent decision. This issue may also be left open in the present operation, as the conclusions of the competitive analysis remain unchanged regardless of the segmentation considered.</w:t>
      </w:r>
    </w:p>
    <w:p>
      <w:r>
        <w:t>16. Regarding the geographical definition of the market, the Authority considers it to be of national dimension, which is not contested by the notifying party. There is no reason to challenge this delimitation in the context of the present decision.</w:t>
      </w:r>
    </w:p>
    <w:p>
      <w:r>
        <w:t>III. Competitive Analysis</w:t>
      </w:r>
    </w:p>
    <w:p>
      <w:r>
        <w:t>17. The operation under review follows the decision of the Competition Authority No. 21-DCC-197 of October 25, 2021, by which Cellnex France Group was authorized to take exclusive control of the company Hivory, subject to the divestiture of part of the assets of Cellnex or Hivory in accordance with the commitments made. The divestiture concerns 3226 passive infrastructures of Cellnex or Hivory, located in metropolitan France in urban areas, including 2904 flat roof sites and 322 "other" sites.</w:t>
      </w:r>
    </w:p>
    <w:p>
      <w:r>
        <w:t>18. However, PTI is only active in metropolitan France, through the company PFI 1, which it jointly owns with Bouygues Telecom, in rural and peri-urban areas. It does not own any passive infrastructure of the flat roof type or "other" type in urban areas.</w:t>
      </w:r>
    </w:p>
    <w:p>
      <w:r>
        <w:t>19. Under these conditions, the present operation does not result in any overlap of activity in the national market for flat roof type infrastructures in urban areas nor in the national market for "other" type infrastructures in urban areas. Any risk of horizontal effect can be ruled out.</w:t>
      </w:r>
    </w:p>
    <w:p>
      <w:r>
        <w:t>20. Any risk of vertical effect can also be ruled out, as PTI is not active in any upstream or downstream market of the one in which the sites of the Cellnex perimeter and the Hivory perimeter will be active.</w:t>
      </w:r>
    </w:p>
    <w:p>
      <w:r>
        <w:t>21. Regarding the sites of the Cellnex perimeter, which would be held by PFI 2 and on which Bouygues Telecom's telephony equipment is hosted, there is no risk of vertical effects due to the presence of Bouygues Telecom as a shareholder in the company PFI 1. In particular, there is no risk of locking out third-party MNOs in the context of colocation at the sites of the Cellnex perimeter.</w:t>
      </w:r>
    </w:p>
    <w:p>
      <w:r>
        <w:t>22. Indeed, as previously indicated, it follows from the governance and management arrangements of PFI 2 agreed upon between PTI and Bouygues Telecom, that the latter will not exercise any control, de jure or de facto, over PFI 2 within the meaning of competition law.</w:t>
      </w:r>
    </w:p>
    <w:p>
      <w:r>
        <w:t>23. Furthermore, the agreements concluded between PTI and Bouygues Telecom provide for provisions that will prevent Bouygues Telecom from having knowledge of and interfering in the conduct of PFI 2's commercial activities with third-party MNOs. PFI 2 will therefore not have the capacity to implement a locking strategy.</w:t>
      </w:r>
    </w:p>
    <w:p>
      <w:r>
        <w:t>24. PFI 2 will also have no incentive to adopt such a strategy. Indeed, the shareholders of PFI 1 have no interest in forgoing the revenues of PFI 2 derived from colocation, which can only develop to a limited extent in urban areas on flat roofs and "other" sites. Moreover, the market shares of PFI 2 in the national market for flat roof type infrastructures in urban areas and in the national market for "other" type infrastructures in urban areas would be below 35% following the operation. An MNO that is refused colocation at the sites of PFI 2 could easily turn to competitors' sites.</w:t>
      </w:r>
    </w:p>
    <w:p>
      <w:r>
        <w:t>25. Finally, any conglomerate effect can be ruled out given PTI's limited market shares in the various market segments in which it will be present. Following the operation, PTI's market shares at the national level would not exceed 35% in urban areas and 20% in peri-urban and rural areas.</w:t>
      </w:r>
    </w:p>
    <w:p>
      <w:r>
        <w:t>DECISION</w:t>
      </w:r>
    </w:p>
    <w:p>
      <w:r>
        <w:t>Sole Article: The operation notified under number 22-143 is authorized.</w:t>
      </w:r>
    </w:p>
    <w:p>
      <w: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