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https://www.autoritedelaconcurrence.fr/fr/decision-de-controle-des-concentrations/relative-la-prise-de-controle-exclusif-dactifs-du-groupe-10</w:t>
      </w:r>
    </w:p>
    <w:p>
      <w:r>
        <w:t>Pages translated : 10</w:t>
      </w:r>
    </w:p>
    <w:p/>
    <w:p>
      <w:r>
        <w:rPr>
          <w:b/>
        </w:rPr>
        <w:t>[Pages 1–3]</w:t>
      </w:r>
    </w:p>
    <w:p>
      <w:r>
        <w:t xml:space="preserve">FRENCH REPUBLIC  </w:t>
        <w:br/>
        <w:t xml:space="preserve">Decision No. 21-DCC-128 of July 22, 2021  </w:t>
        <w:br/>
        <w:t>regarding the exclusive control of assets of the Kidiliz group by the Idkids group</w:t>
      </w:r>
    </w:p>
    <w:p>
      <w:r>
        <w:t xml:space="preserve">The Competition Authority,  </w:t>
        <w:br/>
        <w:t xml:space="preserve">Having regard to the notification file sent to the merger service on November 13, 2020, declared complete on February 17, 2021, concerning the exclusive control of assets of the Kidiliz group by the company ID Valeurs, the holding company of the Idkids group, formalized by a takeover offer dated November 3, 2020, and the judgments of the Paris Commercial Court dated November 23, 2020;  </w:t>
        <w:br/>
        <w:t xml:space="preserve">Having regard to Book IV of the Commercial Code relating to the freedom of prices and competition, and in particular its Articles L. 430-1 to L. 430-7;  </w:t>
        <w:br/>
        <w:t xml:space="preserve">Having regard to the additional elements transmitted by the notifying party during the investigation;  </w:t>
        <w:br/>
        <w:t>Adopts the following decision:</w:t>
      </w:r>
    </w:p>
    <w:p>
      <w:r>
        <w:t xml:space="preserve">I. THE COMPANIES CONCERNED  </w:t>
        <w:br/>
        <w:t xml:space="preserve">1. The Idkids group (hereinafter "Idkids") specializes in the design and sale of children's clothing and toys, through the Okaïdi, Jacadi, and Oxybul networks, which have 370, 102, and 29 retail outlets located in France, respectively. Through the holding company ID Valeurs, the group is jointly controlled by the Duforest and Souflet families, who do not hold stakes in other companies in the children's clothing or retail sectors.  </w:t>
        <w:br/>
        <w:t xml:space="preserve">2. The target assets, initially owned by the Zhejiang Semir Garment group, belong to the Kidiliz group, which is active in the retail distribution of children's clothing. These assets notably include 81 self-owned retail outlets as well as 19 affiliated retail outlets located in France and operated under the brands Catimini, Z, and Kidiliz, as well as the brands Catimini, Absorba, Chipie, 3 Pommes, Lili Gaufrette, Jean Bourget, and Z.  </w:t>
        <w:br/>
        <w:t xml:space="preserve">3. The notified operation is formalized by a takeover offer dated November 3, 2020, and the judgments of the Paris Commercial Court dated November 23, 2020. It consists of the acquisition, by the Idkids group, of all the target assets. Insofar as it results in the exclusive control by the Idkids group of the target assets, the operation constitutes a concentration within the meaning of Article L. 430-1 of the Commercial Code.  </w:t>
        <w:br/>
        <w:t xml:space="preserve">4. The companies concerned together achieve a total turnover excluding taxes on a global scale of more than 75 million euros (Idkids: [≥ 75 million] euros for the fiscal year ending December 31, 2019; acquired assets: [≤ 75 million] euros for the same fiscal year). The companies concerned achieve in France in the retail sector a turnover exceeding 15 million euros (Idkids: [≥ 15 million] euros for the fiscal year ending December 31, 2019; target assets: [≥ 15 million] euros for the same fiscal year).  </w:t>
        <w:br/>
        <w:t>5. Given these turnover figures, the operation does not fall under the jurisdiction of the European Union. However, the control thresholds related to retail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6. The parties are simultaneously active in the sector of children's clothing distribution (A). They are also simultaneously active in the sector of clearance product distribution (B). In each of these two sectors, the decision-making practice distinguishes, on the one hand, the upstream markets for supply and, on the other hand, the downstream markets for retail distribution.  </w:t>
        <w:br/>
        <w:t>1 The Kidiliz group has a network of 421 self-owned stores worldwide, of which 232 are located in France.</w:t>
      </w:r>
    </w:p>
    <w:p>
      <w:r>
        <w:t xml:space="preserve">A. MARKETS FOR CHILDREN'S CLOTHING  </w:t>
        <w:br/>
        <w:t xml:space="preserve">1. UPSTREAM MARKETS FOR THE SUPPLY OF CLOTHING  </w:t>
        <w:br/>
        <w:t xml:space="preserve">7. In the sector of supply to distributors, the decision-making practice of competition authorities considers that producers cannot easily convert to the manufacture of products other than their own. It thus distinguishes as many markets as there are families of products. In this case, the items purchased by the parties from their suppliers mainly belong to the family of children's clothing.  </w:t>
        <w:br/>
        <w:t xml:space="preserve">8. According to the decision-making practice of competition authorities, the markets for the supply of non-food products are at least nationally dimensioned. Specifically regarding the markets for the supply of clothing, the markets have a global dimension.  </w:t>
        <w:br/>
        <w:t xml:space="preserve">9. In this case, the parties purchase from various suppliers the items they then market to individuals.  </w:t>
        <w:br/>
        <w:t>10. In any event, the exact delimitation of the market can be left open, as the conclusions of the competitive analysis remain unchanged, regardless of the delimitations retained.</w:t>
      </w:r>
    </w:p>
    <w:p>
      <w:r>
        <w:t xml:space="preserve">2. DOWNSTREAM MARKETS FOR THE RETAIL DISTRIBUTION OF CHILDREN'S CLOTHING  </w:t>
        <w:br/>
        <w:t xml:space="preserve">a) Product Markets  </w:t>
        <w:br/>
        <w:t xml:space="preserve">11. Regarding the retail distribution of clothing, the Authority has considered several segmentations based on (i) the gender and age of consumers (men, women, children) and (ii) the range of products sold (entry-level, mid-range, and high-end). In this case, the parties offer mid-range children's clothing.  </w:t>
        <w:br/>
        <w:t xml:space="preserve">12. Regarding distribution channels, it has distinguished, to date, sales made in physical stores and distance sales (online and by mail). In this case, the parties are present in both distribution channels.  </w:t>
        <w:br/>
        <w:t>13. Specifically regarding the market for clothing distribution in stores, it is segmented between sales in specialized boutiques and sales in specialized hypermarkets (such as Gémo or Kiabi) and in supermarkets with a dominant food focus.</w:t>
      </w:r>
    </w:p>
    <w:p>
      <w:r>
        <w:rPr>
          <w:b/>
        </w:rPr>
        <w:t>[Pages 4–6]</w:t>
      </w:r>
    </w:p>
    <w:p>
      <w:r>
        <w:t>("GSA"). In this case, the points of sale operated by the parties are specialized boutiques.</w:t>
      </w:r>
    </w:p>
    <w:p>
      <w:r>
        <w:t>14. The question of the exact definition of retail clothing distribution markets can, however, be left open insofar as, regardless of the segmentation chosen, the conclusions of the competitive analysis remain unchanged.</w:t>
      </w:r>
    </w:p>
    <w:p>
      <w:r>
        <w:t>b) Geographic Markets</w:t>
      </w:r>
    </w:p>
    <w:p>
      <w:r>
        <w:t>15. Regarding retail clothing distribution, the Authority considers that competition occurs between points of sale located in catchment areas. Two criteria are used to delineate these areas:</w:t>
      </w:r>
    </w:p>
    <w:p>
      <w:r>
        <w:t>- on the one hand, for specialized boutiques, there are as many geographic markets as there are cities where retailers capable of selling these items are located, each of these markets corresponding to the commercial attraction zone of the city in which one of the parties' stores is located;</w:t>
        <w:br/>
        <w:t>- on the other hand, for GSA and large specialized stores ("GSS"), the geographic market corresponds to a radius of 20 minutes by car from one of the parties' stores. This catchment area is also retained for stores located in shopping centers adjacent to GSS or GSA.</w:t>
      </w:r>
    </w:p>
    <w:p>
      <w:r>
        <w:t>16. Furthermore, the growing weight in this sector of specialized distribution chains, consisting of networks of points of sale under a common brand, operated in-house, through franchises, or in purchasing groups and present throughout the national territory raises the question of the relevance of a complementary analysis at the national level.</w:t>
      </w:r>
    </w:p>
    <w:p>
      <w:r>
        <w:t>17. Finally, regarding distance sales of these items, the decision-making practice of competition authorities retains a national delineation, due to linguistic differences and the heterogeneity of consumer habits within the European Union, as well as the homogeneity of costs and delivery times at the national level.</w:t>
      </w:r>
    </w:p>
    <w:p>
      <w:r>
        <w:t>18. In this case, as the parties distribute their items through chains of specialized boutiques and online, the competitive analysis will be conducted at the national level and at the level of each of the cities where the parties' activities overlap, as well as in catchment areas of 20 minutes around the target points of sale when they are located in a shopping center.</w:t>
      </w:r>
    </w:p>
    <w:p>
      <w:r>
        <w:t>B. MARKETS FOR THE RETAIL DISTRIBUTION OF CLEARANCE CLOTHING</w:t>
      </w:r>
    </w:p>
    <w:p>
      <w:r>
        <w:t>19. Regarding clearance products, the parties are only active in the downstream market for distribution, with the clearance products they market coming from their stocks of unsold products.</w:t>
      </w:r>
    </w:p>
    <w:p>
      <w:r>
        <w:t>20. The Authority has recognized the existence of a market for the retail distribution of low-priced items in which stores specialized in the clearance of branded products or the sale of discounted products sell items at low prices to consumers. It has considered a segmentation of this market by distribution channel and by product family:</w:t>
      </w:r>
    </w:p>
    <w:p>
      <w:r>
        <w:t>(i) clothing, underwear, and shoes;</w:t>
        <w:br/>
        <w:t>(ii) watches, jewelry, and goldsmithing;</w:t>
        <w:br/>
        <w:t>(iii) luxury perfumes and cosmetics;</w:t>
        <w:br/>
        <w:t>(iv) wines and spirits.</w:t>
      </w:r>
    </w:p>
    <w:p>
      <w:r>
        <w:t>21. In this case, the parties have clearance stores, in which they distribute unsold stocks from their previous collections at prices lower than those practiced in traditional stores. The parties distribute their clearance items solely through boutiques. They are not present in online sales of clearance items.</w:t>
      </w:r>
    </w:p>
    <w:p>
      <w:r>
        <w:t>22. By analogy with the retail clothing sector, an additional segmentation of the retail distribution of clearance clothing based on age and gender may be considered.</w:t>
      </w:r>
    </w:p>
    <w:p>
      <w:r>
        <w:t>23. In this case, however, the question of the exact definition of the market for the retail distribution of clearance clothing can be left open insofar as, regardless of the segmentation chosen, the conclusions of the competitive analysis remain unchanged. For the present operation, the analysis will only be conducted on the market for the distribution of clearance clothing for children, the most conservative level of analysis.</w:t>
      </w:r>
    </w:p>
    <w:p>
      <w:r>
        <w:t>a) Geographic Markets</w:t>
      </w:r>
    </w:p>
    <w:p>
      <w:r>
        <w:t>24. Regarding the retail distribution of clearance products, the Authority considers that competition occurs between points of sale located in catchment areas. Similarly to traditional businesses, two criteria are used to delineate these areas:</w:t>
      </w:r>
    </w:p>
    <w:p>
      <w:r>
        <w:t>- on the one hand, for specialized boutiques, there are as many geographic markets as there are cities where retailers capable of selling these items are located, each of these markets corresponding to the commercial attraction zone of the city in which one of the parties' stores is located;</w:t>
        <w:br/>
        <w:t>- on the other hand, for GSA and GSS, the geographic market corresponds to a radius of 20 minutes by car from one of the parties' stores. This catchment area is also retained for stores located in shopping centers adjacent to GSS or GSA.</w:t>
      </w:r>
    </w:p>
    <w:p>
      <w:r>
        <w:t>III. COMPETITIVE ANALYSIS</w:t>
      </w:r>
    </w:p>
    <w:p>
      <w:r>
        <w:t>25. The Idkids group and the target assets are simultaneously active in the upstream markets for the supply of children's clothing as buyers.</w:t>
      </w:r>
    </w:p>
    <w:p>
      <w:r>
        <w:t>26. The parties are also present in the retail distribution markets for children's clothing in specialized boutiques and on the internet (B), as well as in the retail distribution markets for clearance products (C).</w:t>
      </w:r>
    </w:p>
    <w:p>
      <w:r>
        <w:t>A. UPSTREAM MARKETS FOR THE SUPPLY OF CHILDREN'S CLOTHING</w:t>
      </w:r>
    </w:p>
    <w:p>
      <w:r>
        <w:t>27. In the upstream markets for the supply of children's clothing, the market share of the new entity will be less than 1%.</w:t>
      </w:r>
    </w:p>
    <w:p>
      <w:r>
        <w:t>28. Consequently, the operation is not likely to harm competition in the upstream market for the supply of children's clothing.</w:t>
      </w:r>
    </w:p>
    <w:p>
      <w:r>
        <w:t>B. DOWNSTREAM MARKETS FOR THE RETAIL DISTRIBUTION OF CHILDREN'S CLOTHING</w:t>
      </w:r>
    </w:p>
    <w:p>
      <w:r>
        <w:t>a) Methodology for the retail distribution of children's clothing</w:t>
      </w:r>
    </w:p>
    <w:p>
      <w:r>
        <w:t>29. The parties operate specialized boutiques under the brands Catimini, Kidiliz, and Z, which offer mid-range children's clothing. Different categories of points of sale offer mid-range children's clothing. These include specialized brands, such as those of the parties, such as Petit Bateau, Du pareil au même, or Sergent Major. They also include certain large clothing brands offering clothing for the entire population. It emerges from the investigation that the brands Zara and H&amp;M sometimes have extensive children's sections and have a price positioning similar to that of the parties' points of sale. Finally, some Monoprix stores also have a significant selection of children's clothing, sold at price levels comparable to those of the parties' items.</w:t>
      </w:r>
    </w:p>
    <w:p>
      <w:r>
        <w:t>30. The competitive analysis has thus been conducted by including specialized brands distributing mid-range children's clothing as well as the sections dedicated to the sale of children's clothing in generalist brands Zara, H&amp;M, and Monoprix. However, large specialized stores, such as Kiabi or Décathlon, which also offer children's clothing, have not been included in the competitive analysis, as these brands offer entry-level clothing rather than mid-range clothing.</w:t>
      </w:r>
    </w:p>
    <w:p>
      <w:r>
        <w:t>b) National Analysis</w:t>
      </w:r>
    </w:p>
    <w:p>
      <w:r>
        <w:t>31. At the national level, the cumulative market share of the parties will be less than 8% regarding in-store retail distribution of children's clothing.</w:t>
      </w:r>
    </w:p>
    <w:p>
      <w:r>
        <w:t>32. Regarding online sales of children's clothing, the cumulative market share of the parties will also be less than 8%.</w:t>
      </w:r>
    </w:p>
    <w:p>
      <w:r>
        <w:t>33. The operation is therefore not likely to harm competition in the markets for in-store and online retail distribution of children's clothing at the national level.</w:t>
      </w:r>
    </w:p>
    <w:p>
      <w:r>
        <w:rPr>
          <w:b/>
        </w:rPr>
        <w:t>[Pages 7–9]</w:t>
      </w:r>
    </w:p>
    <w:p>
      <w:r>
        <w:t>c) Local Analysis</w:t>
      </w:r>
    </w:p>
    <w:p>
      <w:r>
        <w:t>34. Following the decision-making practice, the catchment areas have been defined around each target point of sale as follows:</w:t>
        <w:br/>
        <w:t>- for those located in a shopping center, the catchment areas correspond to a 20-minute driving isochrone around the considered points of sale; and</w:t>
        <w:br/>
        <w:t>- for those located outside a shopping center, the catchment areas correspond to the municipality in which the target store is located.</w:t>
      </w:r>
    </w:p>
    <w:p>
      <w:r>
        <w:t>35. At the local level, the parties are thus simultaneously present in 73 areas.</w:t>
      </w:r>
    </w:p>
    <w:p>
      <w:r>
        <w:t>36. As specified in paragraph 832 of the Authority's guidelines on merger control, "when the market share of the new entity in the relevant area is above 50%, or when it deems it necessary, taking into account the specifics of the case at hand, the Authority conducts a more qualitative analysis of the competitive situation in the area concerned." As a precaution, a qualitative analysis will be presented for the various areas where the market shares of the new entity will exceed 45%.</w:t>
      </w:r>
    </w:p>
    <w:p>
      <w:r>
        <w:t>37. Of the 73 areas in which the parties are simultaneously present, the market shares of the new entity are below 45% in 68 areas and above 45% in 5 areas.</w:t>
      </w:r>
    </w:p>
    <w:p>
      <w:r>
        <w:t>i) Areas where the market share of the new entity is below 45%</w:t>
      </w:r>
    </w:p>
    <w:p>
      <w:r>
        <w:t>38. In all 68 areas where the market shares of the new entity will be below 45%, the new entity will face competition from at least two national specialized brands (notably Petit Bateau, Du pareil au même, and Sergent Major) and at least one national generalist brand with a children's section (Zara, H&amp;M, or Monoprix).</w:t>
      </w:r>
    </w:p>
    <w:p>
      <w:r>
        <w:t>39. Given these elements, any risk of harm to competition in the retail distribution market for children's clothing can be excluded in these 68 areas.</w:t>
      </w:r>
    </w:p>
    <w:p>
      <w:r>
        <w:t>ii) Areas where the market share of the new entity is above 45%</w:t>
      </w:r>
    </w:p>
    <w:p>
      <w:r>
        <w:t>40. As previously indicated, the new entity will have market shares exceeding 45% in five areas.</w:t>
      </w:r>
    </w:p>
    <w:p>
      <w:r>
        <w:t>Areas of Saint-Maur-des-Fossés (94), Vendôme (41), and Ajaccio (20)</w:t>
      </w:r>
    </w:p>
    <w:p>
      <w:r>
        <w:t>In these three areas, the market share of the new entity will remain below 50%, and the new entity will face competition from at least two competing points of sale, so that the concerned consumers will continue to have alternative points of sale to the new entity. Therefore, any risk of harm to competition in the retail distribution market for children's clothing can be excluded in the areas of Saint-Maur-des-Fossés, Vendôme, and Ajaccio.</w:t>
      </w:r>
    </w:p>
    <w:p>
      <w:r>
        <w:t>Areas of La Baule-Escoublac (44) and Sarreguemines (57)</w:t>
      </w:r>
    </w:p>
    <w:p>
      <w:r>
        <w:t>41. In the area of La Baule-Escoublac, the new entity will have market shares of [60-70]%, with an additional market share of [20-30] points. However, it will face competition from two points of sale, located in the immediate vicinity, one under the Petit Bateau brand ([20-30]%), the other under the IKKS Junior brand ([10-20]%).</w:t>
      </w:r>
    </w:p>
    <w:p>
      <w:r>
        <w:t>42. In the area of Sarreguemines, the new entity will have market shares of [50-60]%, with an additional market share of [10-20] points. However, it will face direct competition from a Du Pareil Au Même point of sale ([30-40]%), located a few meters from the target point of sale, as well as from a Jul’ et Line point of sale ([10-20]%), which sells IKKS brand children's clothing.</w:t>
      </w:r>
    </w:p>
    <w:p>
      <w:r>
        <w:t>43. Furthermore, in these two areas, the new entity will face competitive pressure from online sales operators, who offer a wide range of children's clothing. In 2020, online sales of children's clothing accounted for 18% of total children's clothing sales.</w:t>
      </w:r>
    </w:p>
    <w:p>
      <w:r>
        <w:t>44. Therefore, any risk of harm to competition can be excluded in the areas of La Baule-Escoublac and Sarreguemines.</w:t>
      </w:r>
    </w:p>
    <w:p>
      <w:r>
        <w:t>45. Consequently, the operation is not likely to harm competition in the various local markets for the retail distribution of children's clothing.</w:t>
      </w:r>
    </w:p>
    <w:p>
      <w:r>
        <w:t>C. DOWNSTREAM MARKETS FOR THE DISTRIBUTION OF CLEARANCE CLOTHING</w:t>
      </w:r>
    </w:p>
    <w:p>
      <w:r>
        <w:t>46. The assets acquired by the Idkids group as part of the operation include 15 stores dedicated to the sale of clearance clothing. Since the Idkids group operates 8 stores dedicated to the sale of clearance clothing, the parties are simultaneously active in the clearance clothing market.</w:t>
      </w:r>
    </w:p>
    <w:p>
      <w:r>
        <w:t>47. As indicated in points 23 and 24 of this decision, by analogy with the retail clothing sector, the analysis will, for this operation, be conducted solely on the market for the distribution of children's clearance clothing, the most conservative level of analysis.</w:t>
      </w:r>
    </w:p>
    <w:p>
      <w:r>
        <w:t>a) National Analysis</w:t>
      </w:r>
    </w:p>
    <w:p>
      <w:r>
        <w:t>48. In the market for in-store sales of children's clearance clothing, the notifying party estimates that the market share of the new entity will not exceed 10%.</w:t>
      </w:r>
    </w:p>
    <w:p>
      <w:r>
        <w:t>49. Therefore, the operation is not likely to harm competition in the markets for in-store sales of children's clearance clothing at the national level.</w:t>
      </w:r>
    </w:p>
    <w:p>
      <w:r>
        <w:t>b) Local Analysis</w:t>
      </w:r>
    </w:p>
    <w:p>
      <w:r>
        <w:t>50. In the same manner as for the local analysis of the retail distribution market for children's clothing, and in accordance with decision-making practice, the catchment areas have been defined around each target point of sale as follows:</w:t>
        <w:br/>
        <w:t>- for those located in a shopping center, the catchment areas are defined using 20-minute driving isochrones; and</w:t>
        <w:br/>
        <w:t>- for those located outside a shopping center, the catchment areas correspond to the municipality in which the target store is located.</w:t>
      </w:r>
    </w:p>
    <w:p>
      <w:r>
        <w:t>51. At the local level, the parties are thus simultaneously present in 6 areas.</w:t>
      </w:r>
    </w:p>
    <w:p>
      <w:r>
        <w:t>52. The combined market shares of the parties, estimated based on sales areas, will be below 37% in 5 of the 6 overlapping activity areas.</w:t>
      </w:r>
    </w:p>
    <w:p>
      <w:r>
        <w:t>53. In the area of Vélizy-Villacoublay (78), the combined market share of the parties will reach [50-60]%. In this shopping center dedicated to outlet stores, the new entity will primarily face competition from the Galeries Lafayette point of sale, which has a significant children's section, but also from smaller generalist points of sale, which also have a children's section (for example, Karl Marc John or Bazar Chic). Additionally, the new entity will face competition from operators present in online sales of children's clearance clothing, so that consumers located in the area of Vélizy-Villacoublay will continue to have alternatives to the new entity for their purchases of clearance children's clothing.</w:t>
      </w:r>
    </w:p>
    <w:p>
      <w:r>
        <w:t>54. Consequently, the operation is not likely to harm competition in the local markets for the retail distribution of clearance clothing.</w:t>
      </w:r>
    </w:p>
    <w:p>
      <w:r>
        <w:rPr>
          <w:b/>
        </w:rPr>
        <w:t>[Pages 10–10]</w:t>
      </w:r>
    </w:p>
    <w:p>
      <w:r>
        <w:t>DECIDES</w:t>
      </w:r>
    </w:p>
    <w:p>
      <w:r>
        <w:t>Sole Article: The operation notified under number 20-236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