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https://www.autoritedelaconcurrence.fr/fr/decision-de-controle-des-concentrations/relative-la-prise-de-controle-exclusif-dactifs-du-groupe-2</w:t>
      </w:r>
    </w:p>
    <w:p>
      <w:r>
        <w:t>Pages translated : 15</w:t>
      </w:r>
    </w:p>
    <w:p/>
    <w:p>
      <w:r>
        <w:rPr>
          <w:b/>
        </w:rPr>
        <w:t>[Pages 1–3]</w:t>
      </w:r>
    </w:p>
    <w:p>
      <w:r>
        <w:t>FRENCH REPUBLIC</w:t>
        <w:br/>
        <w:t>Decision No. 10-DCC-31 of April 14, 2010</w:t>
        <w:br/>
        <w:t>regarding the exclusive control of assets of the Bigard group by the</w:t>
        <w:br/>
        <w:t>company C2 Développement (Terrena group)</w:t>
        <w:br/>
        <w:t>The Competition Authority,</w:t>
        <w:br/>
        <w:t>Having regard to the notification file sent to the merger service on March 9, 2010, declared</w:t>
        <w:br/>
        <w:t>complete on March 29, 2010, concerning the acquisition of four production tools belonging to</w:t>
        <w:br/>
        <w:t>the Bigard group (hereinafter "the targets") by the company C2 Développement, formalized by a</w:t>
        <w:br/>
        <w:t>memorandum of understanding signed on February 3, 2010,</w:t>
        <w:br/>
        <w:t>Having regard to Book IV of the Commercial Code relating to the freedom of prices and</w:t>
        <w:br/>
        <w:t>competition, and in particular its Articles L. 430-1 to L. 430-7;</w:t>
        <w:br/>
        <w:t>Having regard to the supplementary elements transmitted by the parties during the investigation;</w:t>
        <w:br/>
        <w:t>Adopts the following decision:</w:t>
        <w:br/>
        <w:t>I. The concerned companies and the operation</w:t>
        <w:br/>
        <w:t>1. The capital of the company C2 Développement is wholly owned by the agricultural cooperative</w:t>
        <w:br/>
        <w:t>with variable capital, Terrena, the holding company of the Terrena cooperative group (hereinafter</w:t>
        <w:br/>
        <w:t>"Terrena"), which brings together 18,500 farmers. Terrena is notably active in the sectors of milk,</w:t>
        <w:br/>
        <w:t>cereals, eggs, agricultural supplies, public distribution, as well as animal production, health, and</w:t>
        <w:br/>
        <w:t>nutrition. In 2008, the last closed financial year, Terrena achieved a total global turnover of 3.8</w:t>
        <w:br/>
        <w:t>billion euros excluding taxes, of which 3.3 billion euros in France.</w:t>
        <w:br/>
        <w:t>2. The targets consist of the business assets as well as the properties related to four production</w:t>
        <w:br/>
        <w:t>sites, which are currently wholly owned by the Bigard group. These are production and processing</w:t>
        <w:br/>
        <w:t>tools for beef, sheep, and pork located in Nœux-les-Mines (62), Domvallier-Mirecourt (88),</w:t>
        <w:br/>
        <w:t>Eloyes (88), and Vitry-le-François (51). The consolidated global turnover attributable to the</w:t>
        <w:br/>
        <w:t>targets amounted, in 2008, the last closed financial year, to [100-200] million euros excluding</w:t>
        <w:br/>
        <w:t>taxes, of which [&gt;50] million euros in France.</w:t>
        <w:br/>
        <w:t>3. Under the memorandum of understanding, C2 Développement has committed to acquiring all</w:t>
        <w:br/>
        <w:t>the targets. This operation follows the commitments made by the Bigard group in the context of</w:t>
        <w:br/>
        <w:t>the exclusive control of the Socopa group, an operation authorized by the Minister of</w:t>
        <w:br/>
        <w:t>Economy on February 17, 2009, subject to the implementation of commitments aimed at</w:t>
        <w:br/>
        <w:t>remedying the identified anti-competitive effects.</w:t>
        <w:br/>
        <w:t>4. As it results in the exclusive control of the targets by the Terrena group, the operation</w:t>
        <w:br/>
        <w:t>constitutes a concentration within the meaning of Article L.430-1 of the Commercial Code. In</w:t>
        <w:br/>
        <w:t>light of the turnover achieved by the concerned companies, it does not present a community</w:t>
        <w:br/>
        <w:t>dimension. On the other hand, the thresholds provided for in Article L.430-2-I of the Commercial</w:t>
        <w:br/>
        <w:t>Code are exceeded. The present operation is therefore subject to the provisions of Articles L.</w:t>
        <w:br/>
        <w:t>430-3 and following of the Commercial Code relating to economic concentration.</w:t>
        <w:br/>
        <w:t>II. Delimitation of the relevant markets</w:t>
        <w:br/>
        <w:t>A. THE PRODUCT MARKETS</w:t>
        <w:br/>
        <w:t>5. The parties are simultaneously active in the meat sector. In this sector, the decision-making</w:t>
        <w:br/>
        <w:t>practice has first operated a segmentation between the different stages of meat processing,</w:t>
        <w:br/>
        <w:t>which correspond to the animal processing cycle. The first processing corresponds to the slaughter</w:t>
        <w:br/>
        <w:t>of the animal from which carcasses and by-products are obtained. The second processing includes</w:t>
        <w:br/>
        <w:t>the deboning and cutting of carcasses. The third processing consists of packaging ready-to-cook</w:t>
        <w:br/>
        <w:t>meat intended for the final consumer. Finally, the fourth processing corresponds to the</w:t>
        <w:br/>
        <w:t>manufacture of processed meat products.</w:t>
        <w:br/>
        <w:t>1. THE FIRST PROCESSING</w:t>
        <w:br/>
        <w:t>6. Within the first processing, the previous national decision-making practice has recognized the</w:t>
        <w:br/>
        <w:t>existence of different markets: the collection of live animals for slaughter (supply market), the</w:t>
        <w:br/>
        <w:t>slaughter of animals on behalf of third parties, carcasses, and by-products.</w:t>
        <w:br/>
        <w:t>a) The collection of live animals for slaughter</w:t>
        <w:br/>
        <w:t>7. Consistently, national and community competition authorities consider that there are as many</w:t>
        <w:br/>
        <w:t>distinct markets as there are species of animals slaughtered. Indeed, the sizes and weights of</w:t>
        <w:br/>
        <w:t>animals vary from one species to another, and slaughterhouses are generally equipped with</w:t>
        <w:br/>
        <w:t>specific equipment for each type of animal. In this case, the parties simultaneously collect</w:t>
        <w:br/>
        <w:t>cattle.</w:t>
        <w:br/>
        <w:t>8. Regarding the collection of cattle, national decision-making practice has recognized the</w:t>
        <w:br/>
        <w:t>existence of an initial segmentation between the collection of calves and the collection of other</w:t>
        <w:br/>
        <w:t>cattle (hereinafter simply referred to as "cattle"). In the present case, the parties are active in</w:t>
        <w:br/>
        <w:t>both the collection of calves and cattle.</w:t>
        <w:br/>
        <w:t>9. Furthermore, within the category of cattle, it has considered segmenting between young</w:t>
        <w:br/>
        <w:t>cattle and large cattle, taking into account differences in purchase price, quality, and final</w:t>
        <w:br/>
        <w:t>destination of these two types of cattle. Finally, in the matter of large cattle, it has considered</w:t>
        <w:br/>
        <w:t>that it may be relevant to segment this category according to the conformation of the animal, due</w:t>
        <w:br/>
        <w:t>to differences in price, use, and final destination of the meat. Indeed, large cattle are classified into</w:t>
        <w:br/>
        <w:t>five categories according to their conformation. These are categories E, U, R, O, P, with</w:t>
        <w:br/>
        <w:t>conformations O and P mainly comprising cattle from the dairy herd, while conformations E, U,</w:t>
        <w:br/>
        <w:t>and R mainly comprise beef cattle.</w:t>
        <w:br/>
        <w:t>10. In this case, however, the question of a possible segmentation of the cattle collection market</w:t>
        <w:br/>
        <w:t>can be left open, as regardless of the hypothesis adopted, the conclusions of the competitive</w:t>
        <w:br/>
        <w:t>analysis will remain unchanged.</w:t>
        <w:br/>
        <w:t>b) The slaughter of animals on behalf of third parties</w:t>
        <w:br/>
        <w:t>11. The market for slaughter services on behalf of third parties is distinguished from the market for</w:t>
        <w:br/>
        <w:t>the collection of live animals intended for slaughter, in that the slaughterhouse does not purchase,</w:t>
        <w:br/>
        <w:t>in the first case, the animal it slaughters. The Minister of Economy has thus considered that this</w:t>
        <w:br/>
        <w:t>market could be segmented in the same way as that of the collection of live animals for slaughter.</w:t>
        <w:br/>
        <w:t>12. In this case, the parties simultaneously offer slaughter services for pigs. Regarding the</w:t>
        <w:br/>
        <w:t>collection of pigs for slaughter, a segmentation between sows and pigs has been considered by the</w:t>
        <w:br/>
        <w:t>competition authorities, given the existence of substantial weight differences between these two</w:t>
        <w:br/>
        <w:t>categories of pigs, this distinction will be retained regarding the slaughter services for pigs on</w:t>
        <w:br/>
        <w:t>behalf of third parties.</w:t>
        <w:br/>
        <w:t>13. In this case, however, the question of a possible segmentation of the market for the slaughter</w:t>
        <w:br/>
        <w:t>of pigs on behalf of third parties can be left open, as regardless of the hypothesis adopted, the</w:t>
        <w:br/>
        <w:t>conclusions of the competitive analysis will remain unchanged.</w:t>
      </w:r>
    </w:p>
    <w:p>
      <w:r>
        <w:rPr>
          <w:b/>
        </w:rPr>
        <w:t>[Pages 4–6]</w:t>
      </w:r>
    </w:p>
    <w:p>
      <w:r>
        <w:t>c) The Carcasses</w:t>
        <w:br/>
        <w:t>14. According to national decision-making practice, the market for carcasses must be segmented according to the type of animal from which the carcass originates. In the present case, the parties simultaneously market carcasses of veal, cattle, and sheep.</w:t>
      </w:r>
    </w:p>
    <w:p>
      <w:r>
        <w:t>15. Regarding cattle carcasses, the Minister of Economy has considered, while leaving the question open, that this market could be segmented in the same way as that of the collection of live cattle for slaughter, namely by distinguishing between carcasses of young cattle and large cattle, as well as possibly between carcasses of large cattle of conformation E, U, and R and carcasses of large cattle of conformation O and P. In the present case, the question of such segmentation can be left open, as regardless of the hypothesis adopted, the conclusions of the competitive analysis will remain unchanged.</w:t>
      </w:r>
    </w:p>
    <w:p>
      <w:r>
        <w:t>16. Regarding sheep carcasses, it is appropriate to operate, in accordance with national decision-making practice, a segmentation between the market for lamb carcasses and that for sheep carcasses. In this case, the parties simultaneously market lamb carcasses.</w:t>
      </w:r>
    </w:p>
    <w:p>
      <w:r>
        <w:t>17. Furthermore, regarding carcasses, in accordance with a consistent decision-making practice of national and community competition authorities concerning food products, the Minister of Economy has considered that each distribution channel (large and medium-sized stores, hereinafter "GMS", food service industry, hereinafter "RHD", agri-food industries, hereinafter "IAA", and butchers-charcutiers-artisans, hereinafter "BCA") constitutes a distinct relevant market due to the existence of different needs according to the type of buyers (notably in terms of volumes, sizing, and packaging). In this case, the parties are simultaneously active across all the aforementioned distribution channels.</w:t>
      </w:r>
    </w:p>
    <w:p>
      <w:r>
        <w:t>d) The By-products</w:t>
        <w:br/>
        <w:t>18. National and community competition authorities have considered segmenting by-products between those suitable for human consumption (mainly offal), segmented by animal species and distribution channel, and those unsuitable for human consumption. Furthermore, the Minister of Economy has noted the existence of a market for hides and skins that can be segmented according to animal species. In the present case, the parties simultaneously market veal and cattle offal across all the distribution channels mentioned in paragraph 17 of this decision, as well as veal and cattle hides and skins.</w:t>
      </w:r>
    </w:p>
    <w:p>
      <w:r>
        <w:t>19. In this case, however, the question of the precise delimitation of the by-products market can be left open, as regardless of the hypothesis adopted, the conclusions of the competitive analysis will remain unchanged.</w:t>
      </w:r>
    </w:p>
    <w:p>
      <w:r>
        <w:t>2. THE SECOND PROCESSING</w:t>
        <w:br/>
        <w:t>20. "Meats from the second processing" refer to cut and/or boned meats, often vacuum-packed for better preservation, and sold to different types of customers (GMS and IAA, for example), who will carry out further processing of this merchandise for presentation for sale (cutting, processing into minced meat, etc.).</w:t>
      </w:r>
    </w:p>
    <w:p>
      <w:r>
        <w:t>21. Within this market, decision-making practice operates a segmentation according to animal species. Furthermore, these markets are segmented according to the distribution channel. In this case, the parties simultaneously market beef, veal, and lamb across all the distribution channels mentioned in paragraph 17 of this decision.</w:t>
      </w:r>
    </w:p>
    <w:p>
      <w:r>
        <w:t>22. Regarding beef, the Minister of Economy has considered that it may be relevant to distinguish between meat sold in the form of muscle and that sold in the form of trim. The muscle indeed comes from the same animal and is generally intended for the production of meat cuts with different designations depending on the muscle concerned (flank, chuck, etc.), while the trim, which constitutes the raw material for minced meat, is composed of a mix of various muscles and is often the result of blending meat from different animals.</w:t>
      </w:r>
    </w:p>
    <w:p>
      <w:r>
        <w:t>23. In this case, however, the question of market segmentation for beef from the second processing between trim and muscle can be left open, as regardless of the hypothesis adopted, the conclusions of the competitive analysis will remain unchanged.</w:t>
      </w:r>
    </w:p>
    <w:p>
      <w:r>
        <w:t>3. THE THIRD PROCESSING</w:t>
        <w:br/>
        <w:t>24. "Meats from the third processing" refer to ready-to-cook meats, packaged in the form of Industrial Consumer Sales Units (UVCI) and directly presentable for sale.</w:t>
      </w:r>
    </w:p>
    <w:p>
      <w:r>
        <w:t>25. The markets for meat from the third processing are segmented according to species and distribution channel. In this case, the parties simultaneously market veal, beef, pork, and lamb under UVCI across all the distribution channels mentioned in paragraph 17 of this decision.</w:t>
      </w:r>
    </w:p>
    <w:p>
      <w:r>
        <w:t>26. Regarding beef sold under UVCI, the Minister of Economy has considered that minced steaks constitute a particular category of products, given their predominant share in total beef sales. Furthermore, he has made a distinction between fresh minced steaks and frozen minced steaks, due to the existence of price differences, production health constraints, and preservation methods between these two types of products.</w:t>
      </w:r>
    </w:p>
    <w:p>
      <w:r>
        <w:t>27. Finally, regarding sales intended for GMS, national decision-making practice has considered, while leaving the question open, a segmentation according to the product's positioning.</w:t>
      </w:r>
    </w:p>
    <w:p>
      <w:r>
        <w:t>28. In this case, however, the question of market segmentation for meat sold under UVCI based on commercial positioning can be left open, as regardless of the hypothesis adopted, the conclusions of the competitive analysis will remain unchanged. In the present case, the target will no longer market products under MDF from the third or fourth processing after the operation. The operation will thus lead to an overlap of activity only concerning private label products.</w:t>
      </w:r>
    </w:p>
    <w:p>
      <w:r>
        <w:t>4. THE FOURTH PROCESSING</w:t>
        <w:br/>
        <w:t>29. The fourth processing corresponds to products made from meat. The European Commission, whose practice has been subsequently adopted by the Minister of Economy and then by the Competition Authority, has defined these products as raw, dried, smoked, or cooked meats from mammals or birds, containing ingredients such as salt or spices.</w:t>
      </w:r>
    </w:p>
    <w:p>
      <w:r>
        <w:t>30. National decision-making practice has thus considered, while leaving the question open, different segmentations of this market, namely: according to the type of meat incorporated, according to the type of processed product, and, concerning sales intended for GMS, according to the product's commercial positioning. Furthermore, it has considered that these markets should be segmented according to the distribution channel.</w:t>
      </w:r>
    </w:p>
    <w:p>
      <w:r>
        <w:t>31. In this case, the parties simultaneously market processed products made from beef, sheep, and pork, skewers, sausages, fine slices (notably carpaccios), and semi-salted products under private label across all the distribution channels mentioned in paragraph 17 of this decision.</w:t>
      </w:r>
    </w:p>
    <w:p>
      <w:r>
        <w:t>32. In this case, however, the question of the relevance of such segmentations can be left open, as regardless of the hypothesis adopted, the conclusions of the competitive analysis will remain unchanged.</w:t>
      </w:r>
    </w:p>
    <w:p>
      <w:r>
        <w:rPr>
          <w:b/>
        </w:rPr>
        <w:t>[Pages 7–9]</w:t>
      </w:r>
    </w:p>
    <w:p>
      <w:r>
        <w:t>B. THE GEOGRAPHICAL MARKETS</w:t>
        <w:br/>
        <w:t>1. THE FIRST PROCESSING</w:t>
        <w:br/>
        <w:t>33. According to national decision-making practice, the markets for the collection of cattle and calves for slaughter have a regional dimension, particularly due to transportation costs. Given the existence of supply basins that are more or less wide depending on the size of the purchasing slaughterhouse, the competitive analysis has thus been conducted on collection areas of 100 kilometers and 300 kilometers around the slaughterhouses.</w:t>
        <w:br/>
        <w:t>34. The Minister of Economy has considered that the markets for slaughter on behalf of third parties have a local dimension corresponding to a maximum area of 50 kilometers around the slaughterhouses.</w:t>
        <w:br/>
        <w:t>35. According to national decision-making practice, the markets for carcasses are of national dimension.</w:t>
        <w:br/>
        <w:t>36. Regarding hides and skins, without definitively resolving the question of geographical delimitation, the Minister has conducted an analysis at the national level.</w:t>
        <w:br/>
        <w:t>37. Regarding by-products suitable for human consumption, decision-making practice has considered that this constitutes a market of national dimension.</w:t>
        <w:br/>
        <w:t>* * *</w:t>
        <w:br/>
        <w:t>38. There is no need to call into question the delimitations of the markets for the first processing during the examination of the present operation.</w:t>
      </w:r>
    </w:p>
    <w:p>
      <w:r>
        <w:t>2. THE SECOND PROCESSING</w:t>
        <w:br/>
        <w:t>39. Regarding the markets for the second processing, the Minister of Economy has considered that it is "likely that the geographical delimitation of the markets for the second processing varies depending on the type of meat and the distribution channel," particularly due to differences in meat import rates depending on the relevant distribution channel. However, without definitively resolving the question of the precise geographical delimitation of the markets, he has conducted his analysis at the national level. In the present case, the competitive analysis will thus be conducted on national markets for the second processing.</w:t>
      </w:r>
    </w:p>
    <w:p>
      <w:r>
        <w:t>3. THE THIRD PROCESSING</w:t>
        <w:br/>
        <w:t>40. Regarding the markets for the third processing, the Minister of Economy has estimated that these markets have a national dimension. However, he has not excluded that the market for frozen minced meat may have a supranational dimension, while conducting a national analysis on this market, a hypothesis that grants the parties the largest market shares.</w:t>
        <w:br/>
        <w:t>41. In accordance with national decision-making practice, the competitive analysis will thus be conducted on national markets for the third processing.</w:t>
      </w:r>
    </w:p>
    <w:p>
      <w:r>
        <w:t>4. THE FOURTH PROCESSING</w:t>
        <w:br/>
        <w:t>42. Regarding the markets for the fourth processing, the Minister of Economy has estimated that these markets have a national dimension, particularly due to the low levels of imports and exports of processed products. There is no need to call into question this market delimitation during the examination of the present operation.</w:t>
      </w:r>
    </w:p>
    <w:p>
      <w:r>
        <w:t>III. Competitive Analysis</w:t>
        <w:br/>
        <w:t>43. The activities of the parties and their main competitors are organized more according to animal species than according to the stages of meat processing, so the competitive analysis on the markets for the first, second, and third processing will be structured according to the species considered.</w:t>
        <w:br/>
        <w:t>44. However, since the activities of fourth processing operators are not highly specialized according to the type of meat processed, the fourth processing will be subject to a separate competitive analysis (E).</w:t>
      </w:r>
    </w:p>
    <w:p>
      <w:r>
        <w:t>A. THE MARKETS FOR SHEEP MEAT</w:t>
        <w:br/>
        <w:t>a) The First Processing</w:t>
        <w:br/>
        <w:t>45. In the markets for lamb carcasses, the only first processing markets in which the parties are simultaneously active, the impact of the operation will be very limited, as the market shares of the target do not exceed [0-5]%, regardless of the distribution channel considered. The market shares of the new entity will also remain limited, as they will be below [10-20]%, regardless of the distribution channel considered.</w:t>
      </w:r>
    </w:p>
    <w:p>
      <w:r>
        <w:t>b) The Second Processing</w:t>
        <w:br/>
        <w:t>46. In the markets for the second processing of lamb meat, the operation will have only a minor impact, as the market shares of the new entity will remain below [0-5]%, regardless of the distribution channel considered.</w:t>
      </w:r>
    </w:p>
    <w:p>
      <w:r>
        <w:t>c) The Third Processing</w:t>
        <w:br/>
        <w:t>47. In the markets for the third processing, the operation will result in an overlap of activity only concerning sales to the food service industry (RHD), as the targets are solely active in this distribution channel. In this market, the operation will have only a minor impact since the market share of the new entity will amount to [0-5]%.</w:t>
        <w:br/>
        <w:t>* * *</w:t>
        <w:br/>
        <w:t>48. The operation is therefore not likely to harm competition through horizontal effects across all markets for the first, second, and third processing of lamb meat. Furthermore, it is also not likely to harm competition through vertical effects between the different markets for lamb meat, as the market shares of the new entity will remain limited, regardless of the market considered, and where, in the upstream market for the collection of live lambs, in which only the targets are active, it will hold only a minor position. The new entity will indeed collect only a very small share of the lambs produced in France.</w:t>
      </w:r>
    </w:p>
    <w:p>
      <w:r>
        <w:t>B. THE MARKETS FOR PORK MEAT</w:t>
        <w:br/>
        <w:t>49. In the various markets for pork, the operation will result in an overlap of activity only in the markets for the second processing as well as in the marketing of pork meat from the third processing to large-scale retail (GMS). Indeed, although the parties are simultaneously active in the market for the collection of pigs, the catchment areas of their slaughterhouses do not overlap.</w:t>
        <w:br/>
        <w:t>50. In the markets for pork meat from the second processing, the operation will have only a very minor impact, as the market shares of the new entity will not exceed [0-5]%, regardless of the distribution channel considered.</w:t>
        <w:br/>
        <w:t>51. Regarding pork meat from the third processing intended for GMS, the operation will result in an overlap of activity only in private label products (MDD), where the position of the new entity will rise to [0-5]%. Regarding branded products (MDF), where only Terrena is active, the new entity will hold a market share of [0-5]%.</w:t>
        <w:br/>
        <w:t>52. Given the very minor impact of the operation on the markets for the second and third processing of pork meat, the operation is not likely to harm competition through horizontal or vertical effects on or between all markets for the first, second, and third processing of pork meat.</w:t>
      </w:r>
    </w:p>
    <w:p>
      <w:r>
        <w:rPr>
          <w:b/>
        </w:rPr>
        <w:t>[Pages 10–12]</w:t>
      </w:r>
    </w:p>
    <w:p>
      <w:r>
        <w:t xml:space="preserve">C. THE VEAL MARKETS  </w:t>
        <w:br/>
        <w:t xml:space="preserve">a) The First Processing  </w:t>
        <w:br/>
        <w:t xml:space="preserve">53. The transaction will not result in any overlap of activity in the veal collection market, as the slaughterhouses of the parties are not located in the same geographical areas. Furthermore, the new entity will only slaughter [0-5]% of the total veal production in France. The transaction will also have no impact on the slaughtering of veal on behalf of third parties, as the parties are not active in this market.  </w:t>
        <w:br/>
        <w:t xml:space="preserve">54. In the various markets for veal carcasses, the transaction will only result in a minimal overlap of activity, as the market shares of the targets are below [0-5]%, regardless of the distribution channel considered. Moreover, the positions of the new entity will remain moderate as they will be below [5-10]%, regardless of the distribution channel considered.  </w:t>
        <w:br/>
        <w:t xml:space="preserve">55. In the market for hides and skins as well as in the offal markets, the transaction will also have a very low impact, given the minor market shares of the targets (in any case below [0-5]%). The market shares of the new entity will also be below [5-10]%, regardless of the market considered.  </w:t>
        <w:br/>
        <w:t xml:space="preserve">b) The Second Processing  </w:t>
        <w:br/>
        <w:t xml:space="preserve">56. In the markets for boneless and/or cut veal, the market shares of the new entity will be minimal, as they will be below [0-5]%, regardless of the distribution channel considered.  </w:t>
        <w:br/>
        <w:t xml:space="preserve">c) The Third Processing  </w:t>
        <w:br/>
        <w:t xml:space="preserve">57. Regarding veal from the third processing intended for large-scale retail (GMS), the transaction will result in an overlap of activity only on private label products (MDD), where the position of the new entity will be [0-5]%. Furthermore, the new entity will not produce branded products (MDF).  </w:t>
        <w:br/>
        <w:t xml:space="preserve">58. Additionally, the parties are also active in the markets for veal from the third processing intended for the food service industry (RHD) and food processing industry (IAA). In these markets, the positions of the new entity will be very low, as they will be below [0-5]%.  </w:t>
        <w:br/>
        <w:t xml:space="preserve">* * *  </w:t>
        <w:br/>
        <w:t>59. Given the very low market shares of the new entity in the first, second, and third processing markets for veal, the transaction is not likely to harm competition through horizontal or vertical effects on or between these different markets.</w:t>
      </w:r>
    </w:p>
    <w:p>
      <w:r>
        <w:t xml:space="preserve">D. THE BOVINE MEAT MARKETS  </w:t>
        <w:br/>
        <w:t xml:space="preserve">a) The First Processing  </w:t>
        <w:br/>
        <w:t xml:space="preserve">60. In collection areas of 100 kilometers, the transaction will result in an overlap of activity only between the slaughterhouse of Terrena, located in Hazebrouck, and that of the targets, located in Nœux-les-Mines, 30 kilometers from Hazebrouck. Given the proximity of these two slaughterhouses, the competitive analysis will be conducted in a single collection area.  </w:t>
        <w:br/>
        <w:t xml:space="preserve">61. In collection areas of 300 kilometers, the transaction will result in an overlap of activity between the slaughterhouse of the targets, located in Nœux-les-Mines, and the slaughterhouses of Terrena, located in Hazebrouck, Villers Bocage, and Alençon.  </w:t>
        <w:br/>
        <w:t xml:space="preserve">62. In a collection area of 100 kilometers around the slaughterhouses of Hazebrouck and Nœux-les-Mines, the new entity's share of cattle purchases will amount to [20-30]%. If a segmentation between young and large cattle were to be adopted, this share would rise to [10-20]% for young cattle and [20-30]% for large cattle. Finally, if a segmentation between cattle of categories O and P and those of categories E, U, and R were to be adopted, the parties' share of purchases would amount to [10-20]% for the first category and [20-30]% for the second category.  </w:t>
        <w:br/>
        <w:t xml:space="preserve">63. In a collection area of 300 kilometers around the slaughterhouses of Hazebrouck and Nœux-les-Mines, the new entity's share of cattle purchases will amount to [10-20]%. If a segmentation between young and large cattle were to be adopted, this share would rise to [10-20]% for young cattle and [10-20]% for large cattle. Finally, if a segmentation between cattle of categories O and P and those of categories E, U, and R were to be adopted, the parties' share of purchases would amount to [10-20]% for the first category and [20-30]% for the second category.  </w:t>
        <w:br/>
        <w:t>64. The purchase shares of the new entity will thus remain moderate, regardless of the size of the collection area and the segmentation adopted. Furthermore, the main buyer will remain the Bigard group, which has significant slaughterhouses in this area, notably the one located in Feignies.</w:t>
      </w:r>
    </w:p>
    <w:p>
      <w:r>
        <w:t xml:space="preserve">Slaughtering on behalf of third parties  </w:t>
        <w:br/>
        <w:t>65. Regarding the slaughtering of cattle on behalf of third parties, the transaction will not result in any overlap of activity, as the slaughterhouses of the parties engaged in this activity are not located in the same geographical areas (West for the slaughterhouses of Terrena and North and East for the slaughterhouses of the targets).</w:t>
      </w:r>
    </w:p>
    <w:p>
      <w:r>
        <w:t xml:space="preserve">The Carcasses  </w:t>
        <w:br/>
        <w:t>66. Regarding the carcass markets, the market shares of the new entity will be below [10-20]%, regardless of the segmentation and distribution channel concerned, except for the carcasses of large cattle of all conformations intended for BCA, for the carcasses of large cattle of conformations O and P intended for IAA, and for the carcasses of large cattle of conformations E, U, and R intended for GMS, where the market shares of the new entity will amount to [10-20]%, [20-30]%, and [20-30]%, respectively. However, the new entity will still face competition from the leading beef operator, namely the Bigard group. Furthermore, it should be noted that the volumes used as the basis for calculating the market shares of the targets include not only the volumes initially sold by these companies to third-party operators but also those previously used in intra-group by the Bigard group. However, the Terrena group has indicated its intention to internally process more than half of the carcasses produced by the targets. Thus, the market shares indicated correspond to the most unfavorable hypothesis for the parties.</w:t>
      </w:r>
    </w:p>
    <w:p>
      <w:r>
        <w:t xml:space="preserve">The Hides and Skins  </w:t>
        <w:br/>
        <w:t>67. Regarding the hides and skins market, the market share of the new entity will remain moderate, as it will amount to [10-20]% ([5-10]% for Terrena and [0-5]% for the targets), while the main operator in this market, the Bigard group, holds a market share of about 40%.</w:t>
      </w:r>
    </w:p>
    <w:p>
      <w:r>
        <w:t xml:space="preserve">The Offals  </w:t>
        <w:br/>
        <w:t>68. Regarding offals, the market shares of the new entity will be below [10-20]% across all distribution channels, except for sales intended for IAA, a distribution channel where the position of the new entity will amount to [20-30]%. However, the new entity will still face the Bigard group, the leading operator in this market. Furthermore, as with the carcasses, the data provided correspond to the most unfavorable hypothesis for the parties as they include the volumes previously used in intra-group by the Bigard group.</w:t>
      </w:r>
    </w:p>
    <w:p>
      <w:r>
        <w:t xml:space="preserve">b) The Second Processing  </w:t>
        <w:br/>
        <w:t xml:space="preserve">69. Regarding boneless and/or cut beef, the impact of the transaction will be low, as the market shares of the target are below [0-5]%, regardless of the distribution channel considered. In total, the market shares of the new entity concerning sales intended for GMS, BCA, IAA, and RHD will amount to [10-20]%, [5-10]%, [10-20]%, and [0-5]%, respectively.  </w:t>
        <w:br/>
        <w:t xml:space="preserve">70. In a potential market for raw materials, the parties only sell their products simultaneously to GMS and IAA. The market share of the new entity will be low concerning GMS as it will amount to [0-5]% and will be moderate concerning sales to IAA ([10-20]%).  </w:t>
        <w:br/>
        <w:t>71. In a potential market for muscle, the market shares of the new entity concerning sales intended for GMS, BCA, IAA, and RHD will amount to [10-20]%, [5-10]%, [10-20]%, and [0-5]%, respectively, and the increment in market share will in any case be below 2%, regardless of the distribution channel considered. Furthermore, the new entity will face strong competition from the Bigard group, particularly in terms of sales intended for GMS and IAA, distribution channels where this competitor represents more than [30-40]% of sales.</w:t>
      </w:r>
    </w:p>
    <w:p>
      <w:r>
        <w:t xml:space="preserve">c) The Third Processing  </w:t>
        <w:br/>
        <w:t>72. Regarding beef from the third processing intended for GMS, the transaction will result in an overlap of activity only on private label products (MDD), where the position of the new entity will amount to [5-10]%. Regarding branded products (MDF), where only Terrena is active, the new entity will have a market share of [0-5]%. In the two other distribution channels where the parties are simultaneously active, namely RHD and IAA, the market shares of the new entity will remain moderate, as they will amount to [0-5]% and [5-10]%, respectively.</w:t>
      </w:r>
    </w:p>
    <w:p>
      <w:r>
        <w:rPr>
          <w:b/>
        </w:rPr>
        <w:t>[Pages 13–15]</w:t>
      </w:r>
    </w:p>
    <w:p>
      <w:r>
        <w:t>73. Regarding fresh minced steaks intended for large-scale retail (GMS), the transaction will result in an overlap of activity only concerning private labels (MDD), on which the position of the new entity will amount to [20-30]%. However, the new entity will still face competition from the Bigard group, which accounts for over 70% of the production of fresh minced steaks sold under private labels. Regarding the branded products (MDF), on which only Terrena is active, the new entity will have a market share of [0-5]%. The parties are also simultaneously active in the distribution channel of the food industry (IAA), where the market share of the new entity will be low, as it will amount to [0-5]%.</w:t>
      </w:r>
    </w:p>
    <w:p>
      <w:r>
        <w:t>74. Regarding frozen minced steaks intended for large-scale retail (GMS), the transaction will result in an overlap of activity only concerning private labels (MDD), on which the position of the new entity will amount to [20-30]%. However, the new entity will still face competition from the Bigard group, the leading producer of private labels in this market. Regarding the branded products (MDF), on which only Terrena is active, the new entity will have a market share of [0-5]%. In the two other distribution channels where the parties will be simultaneously active, namely the food service industry (RHD) and the food industry (IAA), the market shares of the new entity will remain low, as they will amount to [0-5]% and [0-5]%, respectively.</w:t>
      </w:r>
    </w:p>
    <w:p>
      <w:r>
        <w:t>* * *</w:t>
      </w:r>
    </w:p>
    <w:p>
      <w:r>
        <w:t>75. Given the moderate market shares of the new entity in the markets for the first, second, and third processing of beef and the strong presence of the Bigard group in these markets, the transaction is not likely to harm competition through horizontal or vertical effects between or within these different markets.</w:t>
      </w:r>
    </w:p>
    <w:p>
      <w:r>
        <w:t>E. PROCESSED PRODUCTS (THE FOURTH PROCESSING)</w:t>
      </w:r>
    </w:p>
    <w:p>
      <w:r>
        <w:t>76. In distribution channels other than large-scale retail (GMS), the new entity will only be marginally present, regardless of the segmentation considered (by type of meat, by type of product). These market shares will, in any case, be below [0-5]%.</w:t>
      </w:r>
    </w:p>
    <w:p>
      <w:r>
        <w:t>77. The new entity will account for [10-20]% of sales of processed products intended for large-scale retail (GMS).</w:t>
      </w:r>
    </w:p>
    <w:p>
      <w:r>
        <w:t>78. If a segmentation by type of meat were to be adopted, the market shares of the new entity would be below [10-20]%, regardless of the type of meat and the distribution channel considered. In these markets, the new entity will continue to face strong competition from the Bigard group, as well as from groups such as Spanghero (processed products based on pork and sheep meat) and Cooperl (processed products based on pork).</w:t>
      </w:r>
    </w:p>
    <w:p>
      <w:r>
        <w:t>79. In a potential market for sausages intended for large-scale retail (GMS), the transaction will result in an overlap of activity only concerning private labels (MDD), on which the position of the new entity will amount to [10-20]%. Regarding the branded products (MDF), on which only Terrena is active, the new entity will have a market share of [0-5]%. In this type of product, the new entity will face competition from the Bigard group, the leader in this market, as well as from other smaller players, such as Cooperl and Spanghero.</w:t>
      </w:r>
    </w:p>
    <w:p>
      <w:r>
        <w:t>80. In a potential market for skewers intended for large-scale retail (GMS), the transaction will result in an overlap of activity only concerning private labels (MDD), on which the position of the new entity will amount to [10-20]%. Regarding the branded products (MDF), on which only Terrena is active, the new entity will have a market share of [10-20]%. In this type of product, the new entity will face competition from the Bigard group, the leader in this market, as well as from other smaller players, such as Cooperl and Spanghero.</w:t>
      </w:r>
    </w:p>
    <w:p>
      <w:r>
        <w:t>81. In a potential market for fine slices intended for large-scale retail (GMS), the transaction will result in an overlap of activity only concerning private labels (MDD), on which the position of the new entity will amount to [20-30]%. Regarding the branded products (MDF), on which only Terrena is active, the new entity will have a market share of [10-20]%. The new entity will notably continue to face competition from the Bigard group. Furthermore, regarding products sold under private labels, it should be noted that the positions of operators can evolve relatively quickly, as they depend on tenders, generally annual, issued by large-scale retail (GMS).</w:t>
      </w:r>
    </w:p>
    <w:p>
      <w:r>
        <w:t>82. In a potential market for semi-salted products intended for large-scale retail (GMS), the transaction will result in an overlap of activity only concerning private labels (MDD). For private labels, the impact of the transaction will be minor, given the low market share of the targets ([0-5]%). The market share of the new entity will amount to [10-20]%. Regarding the branded products (MDF), on which only Terrena is active, the new entity will have a market share of [0-5]%.</w:t>
      </w:r>
    </w:p>
    <w:p>
      <w:r>
        <w:t>83. Given the moderate market shares of the new entity following the transaction and the existence of alternative competitors, notably the Bigard group, the transaction is not likely to harm competition through horizontal effects in the various markets for processed products. Furthermore, the acquisition of the targets will not lead to an expansion of Terrena's range of processed products, as the products manufactured by the targets prior to the transaction were also produced by Terrena, except for marinated meats, on which the targets hold a marginal position (less than [0-5]% market share). The transaction will therefore not be likely to harm competition through conglomerate effects.</w:t>
      </w:r>
    </w:p>
    <w:p>
      <w:r>
        <w:t>IV. Ancillary Restrictions</w:t>
      </w:r>
    </w:p>
    <w:p>
      <w:r>
        <w:t>84. The agreement specifies that the Bigard group must substitute the volumes of the Bigard brand (hereinafter "MDF volumes"), previously produced by two of the target companies, with comparable volumes of private labels or similar products from other establishments of the Bigard group. Specifically, the Terrena group will thus produce in the two concerned target companies volumes of private labels that were previously produced by the Bigard group in other of its establishments, and these volumes will correspond to the MDF volumes formerly produced by the two concerned target companies. Furthermore, under this agreement, the Bigard group will not be able to take any action aimed at or that could have the effect of reducing the activity volumes achieved by the targets for two years.</w:t>
      </w:r>
    </w:p>
    <w:p>
      <w:r>
        <w:t>85. The first clause aims to allow the Terrena group to acquire viable assets. Indeed, two of the companies sold by the Bigard group produce significant volumes of MDF that will not be transferred with the target companies, as the brands of the Bigard group are not subject to a correlated transfer. In the absence of this clause, the viability of the divested assets would be severely compromised, as the MDF volumes represent over 40% of the total production of the two concerned divested assets. Moreover, the effect of this transfer will remain limited as it concerns approximately 5,000 tons of products and the non-compete clause correlated to the transfer is only concluded for a duration of two years, a duration usually considered necessary by the European Commission in the context of business asset divestitures.</w:t>
      </w:r>
    </w:p>
    <w:p>
      <w:r>
        <w:t>86. The clauses for the transfer of production of private label products or similar and for non-competition are therefore restrictions directly related and necessary for the realization of the transaction.</w:t>
      </w:r>
    </w:p>
    <w:p>
      <w:r>
        <w:t>DECIDES</w:t>
      </w:r>
    </w:p>
    <w:p>
      <w:r>
        <w:t>Sole Article: The transaction notified under number 10-0027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