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https://www.autoritedelaconcurrence.fr/fr/decision-de-controle-des-concentrations/relative-la-prise-de-controle-exclusif-dactifs-du-groupe-5</w:t>
      </w:r>
    </w:p>
    <w:p>
      <w:r>
        <w:t>Pages translated : 7</w:t>
      </w:r>
    </w:p>
    <w:p/>
    <w:p>
      <w:r>
        <w:rPr>
          <w:b/>
        </w:rPr>
        <w:t>[Pages 1–3]</w:t>
      </w:r>
    </w:p>
    <w:p>
      <w:r>
        <w:t xml:space="preserve">FRENCH REPUBLIC  </w:t>
        <w:br/>
        <w:t xml:space="preserve">Decision No. 11-DCC-206 of December 27, 2011  </w:t>
        <w:br/>
        <w:t xml:space="preserve">regarding the exclusive control of assets of the Mory group by the  </w:t>
        <w:br/>
        <w:t xml:space="preserve">company Caravelle  </w:t>
        <w:br/>
        <w:t xml:space="preserve">The Competition Authority,  </w:t>
        <w:br/>
        <w:t xml:space="preserve">Having regard to the notification file sent to the merger service on September 15, 2011, and  </w:t>
        <w:br/>
        <w:t xml:space="preserve">declared complete on November 23, 2011, concerning the acquisition of certain assets of the  </w:t>
        <w:br/>
        <w:t xml:space="preserve">companies of the Mory group by the company Caravelle SA, formalized by a takeover bid  </w:t>
        <w:br/>
        <w:t xml:space="preserve">submitted by Caravelle on July 29, 2011, to the Commercial Court of Bobigny;  </w:t>
        <w:br/>
        <w:t xml:space="preserve">Having regard to Book IV of the Commercial Code relating to the freedom of prices and  </w:t>
        <w:br/>
        <w:t xml:space="preserve">competition, and in particular its Articles L. 430-1 to L. 430-7;  </w:t>
        <w:br/>
        <w:t xml:space="preserve">Having regard to the supplementary elements transmitted by the parties during the investigation;  </w:t>
        <w:br/>
        <w:t xml:space="preserve">Adopts the following decision:  </w:t>
        <w:br/>
        <w:t xml:space="preserve">I. The concerned companies and the operation  </w:t>
        <w:br/>
        <w:t xml:space="preserve">1. Caravelle is an industrial holding company whose activity consists of acquiring  </w:t>
        <w:br/>
        <w:t xml:space="preserve">participations and managing companies. Its main shareholder is the family holding PH  </w:t>
        <w:br/>
        <w:t xml:space="preserve">Finances (at […] %) owned by Mr. X's family, the remainder of the capital being distributed  </w:t>
        <w:br/>
        <w:t xml:space="preserve">among various minority shareholders. Through the companies it controls, Caravelle is active  </w:t>
        <w:br/>
        <w:t xml:space="preserve">in various sectors, including heavy equipment (Marrel SAS, Edbro PLC, and Benalu SAS),  </w:t>
        <w:br/>
        <w:t xml:space="preserve">pharmaceuticals (Cooper SAS and Forum Santé SA), the construction of temperature-controlled  </w:t>
        <w:br/>
        <w:t xml:space="preserve">isothermal bodies (Lamberet group), furniture transport (Girard-Agediss SAS), and express  </w:t>
        <w:br/>
        <w:t xml:space="preserve">parcel delivery and transport brokerage (Ducros Express).  </w:t>
        <w:br/>
        <w:t xml:space="preserve">2. Mory SA is the parent company of the Mory group (hereinafter "Mory"), which is active in  </w:t>
        <w:br/>
        <w:t xml:space="preserve">the sectors of national and international ground parcel delivery, logistics services, national and  </w:t>
        <w:br/>
        <w:t xml:space="preserve">international freight transport services, dedicated distribution, i.e., the transport of palletized  </w:t>
        <w:br/>
        <w:t xml:space="preserve">goods, and the delivery of scooters, motorcycles, and quads.  </w:t>
        <w:br/>
        <w:t xml:space="preserve">3. By virtue of the judgment of the Commercial Court of Bobigny dated September 30, 2011, it is  </w:t>
        <w:br/>
        <w:t>provided that the company Newco, created for the purposes of this operation, acquires a</w:t>
      </w:r>
    </w:p>
    <w:p>
      <w:r>
        <w:t xml:space="preserve">part of the assets of the Mory group. The scope of acquisition consists of the assets of the  </w:t>
        <w:br/>
        <w:t xml:space="preserve">following companies (hereinafter, the "target companies"): Mory SA, Transteam 54, Transteam  </w:t>
        <w:br/>
        <w:t xml:space="preserve">Lorraine, Mory Team, Mory 11, Mory 14, Mory 19, Mory 24, Mory 52, Mory 64, Mory 73,  </w:t>
        <w:br/>
        <w:t xml:space="preserve">Messageries Seegmuller, Mory Exdis, Mory Ingénierie, Distri Team 69, Distri Team, Mory  </w:t>
        <w:br/>
        <w:t xml:space="preserve">25, Mory Group Logistic 13, and the shareholdings of the following companies: Sotrapoise,  </w:t>
        <w:br/>
        <w:t xml:space="preserve">SCI Vincennes, and Hellminger. The share capital of Newco will be held by Arcole at 80%  </w:t>
        <w:br/>
        <w:t xml:space="preserve">and by Ducros Express at 20%, with Caravelle exercising a decisive influence over these two  </w:t>
        <w:br/>
        <w:t xml:space="preserve">companies.  </w:t>
        <w:br/>
        <w:t xml:space="preserve">4. As it results in the exclusive control by Caravelle of the assets of these target companies of the  </w:t>
        <w:br/>
        <w:t xml:space="preserve">Mory group, the notified operation constitutes a concentration within the meaning of Article  </w:t>
        <w:br/>
        <w:t xml:space="preserve">L. 430-1 of the Commercial Code.  </w:t>
        <w:br/>
        <w:t xml:space="preserve">5. The concerned companies together achieve a total worldwide turnover of more than 150 million  </w:t>
        <w:br/>
        <w:t xml:space="preserve">euros (Caravelle: […] million euros for the fiscal year ending December 31, 2010; target  </w:t>
        <w:br/>
        <w:t xml:space="preserve">companies: […] million euros for the same fiscal year). Each of these companies has achieved,  </w:t>
        <w:br/>
        <w:t xml:space="preserve">in France, a turnover exceeding 50 million euros (Caravelle: […] million euros for the fiscal  </w:t>
        <w:br/>
        <w:t xml:space="preserve">year ending December 31, 2010; target companies: […] million euros for the same fiscal year).  </w:t>
        <w:br/>
        <w:t xml:space="preserve">Given these turnover figures, the operation does not have a community dimension. On the  </w:t>
        <w:br/>
        <w:t xml:space="preserve">other hand, the control thresholds mentioned in I of Article L. 430-2 of the Commercial Code  </w:t>
        <w:br/>
        <w:t xml:space="preserve">are exceeded. This operation is therefore subject to the provisions of Articles L. 430-3 and  </w:t>
        <w:br/>
        <w:t xml:space="preserve">following of the Commercial Code relating to economic concentration.  </w:t>
        <w:br/>
        <w:t xml:space="preserve">II. Definition of the relevant markets  </w:t>
        <w:br/>
        <w:t xml:space="preserve">6. Caravelle and Mory are simultaneously present in the markets for road freight transport,  </w:t>
        <w:br/>
        <w:t xml:space="preserve">parcel delivery, road transport brokerage, and logistics.  </w:t>
        <w:br/>
        <w:t xml:space="preserve">A. ROAD FREIGHT TRANSPORT  </w:t>
        <w:br/>
        <w:t xml:space="preserve">1. PRODUCT MARKETS  </w:t>
        <w:br/>
        <w:t xml:space="preserve">7. French and European decision-making practice has made a distinction between (i) air transport,  </w:t>
        <w:br/>
        <w:t xml:space="preserve">(ii) maritime transport, and (iii) land transport of goods and has retained, while leaving the  </w:t>
        <w:br/>
        <w:t xml:space="preserve">question open, that a finer segmentation of the land transport market of goods could be  </w:t>
        <w:br/>
        <w:t xml:space="preserve">considered, depending on whether the transport is carried out by train, by road, by waterway,  </w:t>
        <w:br/>
        <w:t xml:space="preserve">or by pipeline.  </w:t>
        <w:br/>
        <w:t xml:space="preserve">8. Within road freight transport, several sub-segmentations have been considered according to:  </w:t>
        <w:br/>
        <w:t xml:space="preserve">(i) the domestic or cross-border nature, (ii) the type of services offered (dedicated transport,  </w:t>
        <w:br/>
        <w:t xml:space="preserve">full truckload transport, less-than-truckload transport, and parcel delivery), (iii) the nature of  </w:t>
        <w:br/>
        <w:t xml:space="preserve">the products transported (transport of hazardous materials, transport of temperature-controlled  </w:t>
        <w:br/>
        <w:t xml:space="preserve">products), and (iv) the mode of packaging (transport of packaged goods, transport of bulk  </w:t>
        <w:br/>
        <w:t xml:space="preserve">goods).  </w:t>
        <w:br/>
        <w:t xml:space="preserve">9. In the present case, Caravelle, via Ducros Express and Girard, and the target companies are  </w:t>
        <w:br/>
        <w:t xml:space="preserve">simultaneously active in the markets for domestic and international road freight transport and,  </w:t>
        <w:br/>
        <w:t xml:space="preserve">for domestic road freight transport, the transport of less-than-truckload or groupage, and, as  </w:t>
        <w:br/>
        <w:t xml:space="preserve">will be developed below, parcel delivery.  </w:t>
        <w:br/>
        <w:t xml:space="preserve">10. Specifically regarding parcel delivery, this activity consists of the delivery of documents or  </w:t>
        <w:br/>
        <w:t xml:space="preserve">packages weighing less than 3 tons, coming from different shippers and addressed to different  </w:t>
        <w:br/>
        <w:t xml:space="preserve">recipients. It differs from traditional transport due to intermediate operations of sorting,  </w:t>
        <w:br/>
        <w:t xml:space="preserve">grouping, and de-grouping, consisting of gathering or splitting shipments of goods from  </w:t>
        <w:br/>
        <w:t xml:space="preserve">multiple senders to multiple recipients.  </w:t>
        <w:br/>
        <w:t xml:space="preserve">11. Within this activity, competition authorities operate a segmentation between documents and  </w:t>
        <w:br/>
        <w:t xml:space="preserve">packages. The parties only offer parcel delivery services, an activity for which different  </w:t>
        <w:br/>
        <w:t xml:space="preserve">segmentations have been considered. Indeed, in addition to the distinction between national and  </w:t>
        <w:br/>
        <w:t xml:space="preserve">international parcel delivery, the Competition Authority distinguishes three types of services:  </w:t>
        <w:br/>
        <w:t xml:space="preserve">traditional parcel delivery (delivery time of 24 to 72 hours within the national territory),  </w:t>
        <w:br/>
        <w:t xml:space="preserve">express parcel delivery (pickup before 6 PM for delivery the next day before 6 PM within the  </w:t>
        <w:br/>
        <w:t xml:space="preserve">national territory but the times are not guaranteed), and express delivery (pickup before 6 PM  </w:t>
        <w:br/>
        <w:t xml:space="preserve">for delivery the next day before 12 or 1 PM within the national territory with different levels of  </w:t>
        <w:br/>
        <w:t xml:space="preserve">guarantee on the times and a possibility of tracking by the customer).  </w:t>
        <w:br/>
        <w:t xml:space="preserve">12. Furthermore, competition authorities distinguish between delivery activities from professionals to  </w:t>
        <w:br/>
        <w:t xml:space="preserve">professionals ("BtoB"), from professionals to individuals ("BtoC"), from individuals to  </w:t>
        <w:br/>
        <w:t xml:space="preserve">individuals ("CtoC"). For domestic express parcel delivery BtoB, several segmentations can be  </w:t>
        <w:br/>
        <w:t xml:space="preserve">considered, depending on the type of parcel (single parcel or multiple parcels) or according to  </w:t>
        <w:br/>
        <w:t xml:space="preserve">the weight of the parcels (more or less than 30 kg).  </w:t>
        <w:br/>
        <w:t xml:space="preserve">13. The question of market segmentation can, however, be left open, insofar as, regardless of the  </w:t>
        <w:br/>
        <w:t xml:space="preserve">hypothesis adopted, the conclusions of the competitive analysis will remain unchanged.  </w:t>
        <w:br/>
        <w:t xml:space="preserve">2. GEOGRAPHIC MARKETS  </w:t>
        <w:br/>
        <w:t xml:space="preserve">14. Regarding the geographic dimension of these markets, French and European decision-making  </w:t>
        <w:br/>
        <w:t xml:space="preserve">practice has considered that the market for road freight transport and its segmentations generally  </w:t>
        <w:br/>
        <w:t>have a national dimension and are evolving towards a European dimension.</w:t>
      </w:r>
    </w:p>
    <w:p>
      <w:r>
        <w:rPr>
          <w:b/>
        </w:rPr>
        <w:t>[Pages 4–6]</w:t>
      </w:r>
    </w:p>
    <w:p>
      <w:r>
        <w:t>individuals to professionals ("CtoB") and between individuals ("CtoC"). For domestic express parcel delivery BtoB, several segmentations can be considered, depending on the type of parcel (single parcel or multiple parcels) or according to the weight of the parcels (more or less than 30 kg).</w:t>
      </w:r>
    </w:p>
    <w:p>
      <w:r>
        <w:t>13. The question of market segmentation can, however, be left open, insofar as, regardless of the hypothesis adopted, the conclusions of the competitive analysis will remain unchanged.</w:t>
      </w:r>
    </w:p>
    <w:p>
      <w:r>
        <w:t>2. GEOGRAPHIC MARKETS</w:t>
      </w:r>
    </w:p>
    <w:p>
      <w:r>
        <w:t>14. Regarding the geographic dimension of these markets, French13 and European14 decision-making practice has considered that the market for road freight transport and its segmentations generally have a national dimension and are evolving towards a European dimension15.</w:t>
      </w:r>
    </w:p>
    <w:p>
      <w:r>
        <w:t>15. There is no reason to challenge this delimitation in the context of the present decision.</w:t>
      </w:r>
    </w:p>
    <w:p>
      <w:r>
        <w:t>B. FREIGHT FORWARDING</w:t>
      </w:r>
    </w:p>
    <w:p>
      <w:r>
        <w:t>16. According to the French and European competition authorities, the activity of freight forwarding is defined as "the organization of the transport of goods (which may include, in addition to the transport itself, various other services, such as customs clearance or warehousing) on behalf of clients according to their needs"16. Within freight forwarding, the competition authorities have considered17 a finer segmentation of this market according to (i) the mode of transport used, whether by air, sea, or land (including rail and road transport) or according to (ii) the national or international nature of the transport.</w:t>
      </w:r>
    </w:p>
    <w:p>
      <w:r>
        <w:t>17. The European Commission18 considers that the freight forwarding market has a national geographic dimension, particularly given the existence of linguistic and regulatory barriers, although it does not exclude a broader definition at the level of the European Economic Area.</w:t>
      </w:r>
    </w:p>
    <w:p>
      <w:r>
        <w:t>18. In this case, the question of market segmentation as well as that of its geographic delimitation can be left open insofar as the conclusions of the competitive analysis remain unchanged regardless of the hypothesis adopted.</w:t>
      </w:r>
    </w:p>
    <w:p>
      <w:r>
        <w:t>12 See in particular the aforementioned Commission decision COMP/M.1371 and the letter from the minister C 2006-14 mentioned above.</w:t>
      </w:r>
    </w:p>
    <w:p>
      <w:r>
        <w:t>13 See in particular the aforementioned decisions of the Authority 09-DCC-40 and 10-DCC-26.</w:t>
      </w:r>
    </w:p>
    <w:p>
      <w:r>
        <w:t>14 See in particular the aforementioned decisions of the Commission COMP/M.1371 and COMP/M.1405.</w:t>
      </w:r>
    </w:p>
    <w:p>
      <w:r>
        <w:t>15 See in particular the aforementioned decisions of the Authority 09-DCC-74 and 09-DCC-13 and the decision COMP/M. 5877 mentioned above.</w:t>
      </w:r>
    </w:p>
    <w:p>
      <w:r>
        <w:t>16 See in particular the decisions of the Commission COMP/M.4045, Deutsche Bahn/Bax Global, of December 22, 2005, COMP/M.5480 and COMP/M.5877 mentioned above as well as the decision of the Competition Authority No. 09-DCC-40 mentioned above.</w:t>
      </w:r>
    </w:p>
    <w:p>
      <w:r>
        <w:t>17 See in particular the decisions of the European Commission COMP/M.5096, RCA/MAV CARGO, of November 28, 2008 and COMP/M.5480 and COMP/M.5877 mentioned above and the decision of the Authority 09-DCC-40 mentioned above.</w:t>
      </w:r>
    </w:p>
    <w:p>
      <w:r>
        <w:t>18 See in particular the decisions of the Commission COMP/M.4045, COMP/M.5480 and COMP/M.5877 mentioned above and the decision of the Authority 09-DCC-40 mentioned above.</w:t>
      </w:r>
    </w:p>
    <w:p>
      <w:r>
        <w:t>C. LOGISTICS</w:t>
      </w:r>
    </w:p>
    <w:p>
      <w:r>
        <w:t>19. French decision-making practice has defined logistics services as involving "the various links in a supply chain of goods between an origin point and a destination point, in order to optimally manage the flow and storage of said goods. This activity can be likened to a comprehensive offer, as it combines a set of services such as, in particular, storage, inventory management, order taking, and the transport of goods at a time and place defined by the client"19. While it is not necessary to segment the logistics services market by product category, the existence of distinct markets for certain specific products, such as "cold chain" products, has been recognized20.</w:t>
      </w:r>
    </w:p>
    <w:p>
      <w:r>
        <w:t>20. Regarding the geographic definition of the market, decision-making practice has considered21 that the logistics services market has a national dimension, given the existing regulatory and linguistic constraints.</w:t>
      </w:r>
    </w:p>
    <w:p>
      <w:r>
        <w:t>21. There is no reason to challenge these delimitations in the context of the present decision.</w:t>
      </w:r>
    </w:p>
    <w:p>
      <w:r>
        <w:t>III. Competitive Analysis</w:t>
      </w:r>
    </w:p>
    <w:p>
      <w:r>
        <w:t>A. HORIZONTAL EFFECTS</w:t>
      </w:r>
    </w:p>
    <w:p>
      <w:r>
        <w:t>1. MARKETS FOR ROAD FREIGHT TRANSPORT</w:t>
      </w:r>
    </w:p>
    <w:p>
      <w:r>
        <w:t>22. Caravelle and the target companies are simultaneously active in the market for road freight transport and more specifically in the markets for international road freight transport, domestic road freight transport, domestic road freight transport by batch or group of batches, and in certain parcel delivery markets.</w:t>
      </w:r>
    </w:p>
    <w:p>
      <w:r>
        <w:t>19 See in particular the decisions of the Competition Authority 10-DCC-48 of June 2, 2010, regarding the exclusive control of Amonite SAS by Manuloc SA and 11-DCC-79 of May 16, 2011, regarding the joint control of Transcosatal Finances by Satar, Chabas, and STEF-TFE Transport.</w:t>
      </w:r>
    </w:p>
    <w:p>
      <w:r>
        <w:t>20 See in particular the letter C 2005-36 mentioned above and the decision of the Authority 11-DCC-79 mentioned above.</w:t>
      </w:r>
    </w:p>
    <w:p>
      <w:r>
        <w:t>21 See in particular the decisions of the European Commission COMP/M.3492, Exel / Tibbet &amp; Britten, of August 3, 2004, and COMP/M.3496 TNT Forwarding Holding / Wilson logistics of August 2, 2004, and the decision of the Authority 11-DCC-79 mentioned above.</w:t>
      </w:r>
    </w:p>
    <w:p>
      <w:r>
        <w:t>23. According to the parties' estimates22, their market shares will be below [0-5]% in the various markets for road freight transport. More specifically regarding parcel delivery, the market share of the new entity will remain below [10-20]% regardless of the segmentation of the markets considered.</w:t>
      </w:r>
    </w:p>
    <w:p>
      <w:r>
        <w:t>24. Furthermore, in the parcel delivery markets, the new entity will face significant operators such as, in the express parcel delivery markets, the La Poste group (notably Exapaq), Tatex, Sernam, Geodis, or TNT, and in the traditional parcel delivery markets, the La Poste group, Geodis, Schenker Joyau, Dachser, or Heppner. In other road freight transport markets, the competitors of the parties are Norbert Dentressangle, Geodis, or Gefco.</w:t>
      </w:r>
    </w:p>
    <w:p>
      <w:r>
        <w:t>25. The operation is therefore not likely to harm competition through horizontal effects in the markets for road freight transport, regardless of the segmentations considered.</w:t>
      </w:r>
    </w:p>
    <w:p>
      <w:r>
        <w:t>2. FREIGHT FORWARDING MARKET</w:t>
      </w:r>
    </w:p>
    <w:p>
      <w:r>
        <w:t>26. Caravelle, via Ducros Express and Girard, and the target companies are simultaneously active in the national market for domestic road freight forwarding. The parties indicate that the market share of the target companies of the Mory group is below 5%23, that Caravelle's share is marginal and therefore not likely to significantly increase the market share of the target companies, and that consequently, the share of the new entity in this market will remain below [5-10]%.</w:t>
      </w:r>
    </w:p>
    <w:p>
      <w:r>
        <w:t>27. Furthermore, this market is particularly fragmented with a significant number of companies24. Thus, the market shares of each of the main operators in the market, namely Geodis, Norbert Dentressangle, Gefco, DHL Freight, and the Mory group do not exceed 5%.</w:t>
      </w:r>
    </w:p>
    <w:p>
      <w:r>
        <w:t>28. The operation is therefore not likely to harm competition through horizontal effects in the French market for logistics services.</w:t>
      </w:r>
    </w:p>
    <w:p>
      <w:r>
        <w:t>3. LOGISTICS MARKETS</w:t>
      </w:r>
    </w:p>
    <w:p>
      <w:r>
        <w:t>29. Caravelle, via Ducros Express and, very marginally, Girard-Agediss, and the target companies are simultaneously active in the French market for logistics services. Their market shares are estimated25 by the parties at [0-5]% for Caravelle26 and [0-5]% for the target companies.</w:t>
      </w:r>
    </w:p>
    <w:p>
      <w:r>
        <w:rPr>
          <w:b/>
        </w:rPr>
        <w:t>[Pages 7–7]</w:t>
      </w:r>
    </w:p>
    <w:p>
      <w:r>
        <w:t>target companies of the Mory group. The market share of the new entity will therefore be very low, and it will face competition from significant operators such as Nobert Dentressangle, Kuehne + Nagel, DHL, and Schenker Joyau.</w:t>
      </w:r>
    </w:p>
    <w:p>
      <w:r>
        <w:t>30. The operation is therefore not likely to harm competition through horizontal effects in the French logistics services market.</w:t>
      </w:r>
    </w:p>
    <w:p>
      <w:r>
        <w:t>B. VERTICAL AND CONGLOMERATE EFFECTS</w:t>
      </w:r>
    </w:p>
    <w:p>
      <w:r>
        <w:t>31. In accordance with the decision-making practice of the Authority, the existence of vertical or conglomerate effects related to a concentration operation requires that the new entity holds a strong position in a market from which it could exert a leverage effect.</w:t>
      </w:r>
    </w:p>
    <w:p>
      <w:r>
        <w:t>32. In this case, the market shares of the new entity are too low to generate negative vertical or conglomerate effects on the relevant markets.</w:t>
      </w:r>
    </w:p>
    <w:p>
      <w:r>
        <w:t>DECIDES</w:t>
      </w:r>
    </w:p>
    <w:p>
      <w:r>
        <w:t>Sole Article: The operation notified under number 11-157 is authorized.</w:t>
      </w:r>
    </w:p>
    <w:p>
      <w:r>
        <w:t>The Vice-President,</w:t>
        <w:br/>
        <w:t>Françoise Aubert</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