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https://www.autoritedelaconcurrence.fr/fr/decision-de-controle-des-concentrations/relative-la-prise-de-controle-exclusif-dactifs-du-groupe-7</w:t>
      </w:r>
    </w:p>
    <w:p>
      <w:r>
        <w:t>Pages translated : 2</w:t>
      </w:r>
    </w:p>
    <w:p/>
    <w:p>
      <w:r>
        <w:rPr>
          <w:b/>
        </w:rPr>
        <w:t>[Pages 1–2]</w:t>
      </w:r>
    </w:p>
    <w:p>
      <w:r>
        <w:t xml:space="preserve">FRENCH REPUBLIC  </w:t>
        <w:br/>
        <w:t xml:space="preserve">Decision No. 16-DCC-101 of July 12, 2016  </w:t>
        <w:br/>
        <w:t xml:space="preserve">regarding the exclusive control of assets of the Cauval group  </w:t>
        <w:br/>
        <w:t xml:space="preserve">by the company Perceva  </w:t>
        <w:br/>
        <w:t xml:space="preserve">The Competition Authority,  </w:t>
        <w:br/>
        <w:t xml:space="preserve">Having regard to the notification file sent to the mergers department on May 3, 2016, and declared complete on June 17, 2016, concerning the exclusive control of assets of the Cauval group by the company Perceva, formalized by the offer to acquire certain of its assets and the judgments of the Commercial Court of Meaux dated May 23,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assets of the Cauval group, present in the sectors of the design, production, and marketing of bedding articles, on the one hand, and the production and marketing of armchairs and sofas, on the other hand, by the portfolio management company Perceva.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16-087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