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https://www.autoritedelaconcurrence.fr/fr/decision-de-controle-des-concentrations/relative-la-prise-de-controle-exclusif-dactifs-du-groupe-9</w:t>
      </w:r>
    </w:p>
    <w:p>
      <w:r>
        <w:t>Pages translated : 6</w:t>
      </w:r>
    </w:p>
    <w:p/>
    <w:p>
      <w:r>
        <w:rPr>
          <w:b/>
        </w:rPr>
        <w:t>[Pages 1–3]</w:t>
      </w:r>
    </w:p>
    <w:p>
      <w:r>
        <w:t xml:space="preserve">FRENCH REPUBLIC  </w:t>
        <w:br/>
        <w:t xml:space="preserve">Decision No. 20-DCC-59 of May 5, 2020  </w:t>
        <w:br/>
        <w:t xml:space="preserve">regarding the exclusive control of assets of the Albéa group by  </w:t>
        <w:br/>
        <w:t xml:space="preserve">Silgan Holdings Inc.  </w:t>
        <w:br/>
        <w:t xml:space="preserve">The Competition Authority,  </w:t>
        <w:br/>
        <w:t xml:space="preserve">Having regard to the notification file submitted in full to the merger service on March 19, 2020,  </w:t>
        <w:br/>
        <w:t xml:space="preserve">regarding the control of the companies Albéa Do Brasil Embalagens LTDA, Albéa Beauty  </w:t>
        <w:br/>
        <w:t xml:space="preserve">Packaging Holding Spain SLU, Twist Beauty Packaging Holdings Netherlands B.V.,  </w:t>
        <w:br/>
        <w:t xml:space="preserve">Albéa Lacrost SAS, Albéa Le Tréport SAS, Albéa Thomaston Inc., Albéa Metal  </w:t>
        <w:br/>
        <w:t xml:space="preserve">Holdings Corp, assets of the company Albéa Services SAS as well as certain assets located in  </w:t>
        <w:br/>
        <w:t xml:space="preserve">China by Silgan Holdings Inc., formalized by an exclusivity agreement dated  </w:t>
        <w:br/>
        <w:t xml:space="preserve">January 27, 2020;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w:t>
        <w:br/>
        <w:t xml:space="preserve">investigation;  </w:t>
        <w:br/>
        <w:t xml:space="preserve">Adopts the following decision:  </w:t>
        <w:br/>
        <w:t xml:space="preserve">I. The concerned companies and the operation  </w:t>
        <w:br/>
        <w:t xml:space="preserve">1. Silgan Holdings Inc. is an American publicly traded company at the head of the Silgan group1. The Silgan group is active in the manufacture and distribution of primary packaging (containers,  </w:t>
        <w:br/>
        <w:t xml:space="preserve">caps, and distribution systems) in plastic and steel intended for numerous sectors,  </w:t>
        <w:br/>
        <w:t xml:space="preserve">notably food, health, and hygiene.  </w:t>
        <w:br/>
        <w:t xml:space="preserve">2. Albéa Do Brasil Embalagens LTDA, Albéa Beauty Packaging Holding Spain SLU,  </w:t>
        <w:br/>
        <w:t xml:space="preserve">Twist Beauty Packaging Holdings Netherlands B.V., Albéa Lacrost SAS,  </w:t>
        <w:br/>
        <w:t xml:space="preserve">Albéa Le Tréport SAS, Albéa Thomaston Inc., Albéa Metal Holdings Corp, the assets of  </w:t>
        <w:br/>
        <w:t xml:space="preserve">the company Albéa Services SAS concerned by the operation as well as the assets located in China  </w:t>
        <w:br/>
        <w:t xml:space="preserve">concerned by the operation (hereinafter collectively referred to as "the Albéa target assets") are active in the  </w:t>
        <w:br/>
        <w:t xml:space="preserve">production of primary packaging, mainly for cosmetic products. They are owned  </w:t>
        <w:br/>
        <w:t xml:space="preserve">by the company Twist Beauty Packaging SAS, a subsidiary of the Albéa group.  </w:t>
        <w:br/>
        <w:t xml:space="preserve">3. The notified operation, formalized by an exclusivity agreement concluded on January 27, 2020,  </w:t>
        <w:br/>
        <w:t xml:space="preserve">consists of the acquisition by Silgan Holdings Inc. of the entire capital of the Albéa target assets.  </w:t>
        <w:br/>
        <w:t xml:space="preserve">4. As it results in the exclusive control of the Albéa target assets by  </w:t>
        <w:br/>
        <w:t xml:space="preserve">Silgan Holdings Inc., the notified operation constitutes a concentration operation within the meaning of  </w:t>
        <w:br/>
        <w:t xml:space="preserve">Article L. 430-1 of the Commercial Code.  </w:t>
        <w:br/>
        <w:t xml:space="preserve">5. The companies concerned together achieve a total worldwide turnover of  </w:t>
        <w:br/>
        <w:t xml:space="preserve">more than 150 million euros (Silgan group: [≥ 150 million] euros for the fiscal year ending  </w:t>
        <w:br/>
        <w:t xml:space="preserve">December 31, 2018; Albéa target assets: [≥ 150 million] euros for the same fiscal year).  </w:t>
        <w:br/>
        <w:t xml:space="preserve">Each of these companies achieves in France a turnover exceeding 50 million  </w:t>
        <w:br/>
        <w:t xml:space="preserve">euros (Silgan group: [≥ 50 million] euros for the fiscal year ending December 31, 2018;  </w:t>
        <w:br/>
        <w:t xml:space="preserve">target assets: [≥ 50 million] euros for the same fiscal year). Given these turnover figures,  </w:t>
        <w:br/>
        <w:t xml:space="preserve">the operation does not have a European dimension. On the other hand, the control thresholds mentioned in I of  </w:t>
        <w:br/>
        <w:t xml:space="preserve">Article L. 430-2 of the Commercial Code are exceeded. This operation is therefore subject to the provisions of  </w:t>
        <w:br/>
        <w:t xml:space="preserve">Articles L. 430-3 and following of the Commercial Code, relating to economic concentration.  </w:t>
        <w:br/>
        <w:t xml:space="preserve">6. The operation has been notified to the German, Austrian, and United States competition authorities,  </w:t>
        <w:br/>
        <w:t xml:space="preserve">which authorized it without commitments, respectively on March 16, 18, and 31, 2020.  </w:t>
        <w:br/>
        <w:t xml:space="preserve">II. Delimitation of the relevant markets  </w:t>
        <w:br/>
        <w:t xml:space="preserve">7. The parties are simultaneously active in the markets for the production and marketing  </w:t>
        <w:br/>
        <w:t xml:space="preserve">of primary packaging. Primary packaging refers to packaging in direct contact with  </w:t>
        <w:br/>
        <w:t xml:space="preserve">the products they contain and constitutes the smallest units of consumer sale. This  </w:t>
        <w:br/>
        <w:t xml:space="preserve">includes bottles, jars, containers, distribution systems, and caps.  </w:t>
        <w:br/>
        <w:t xml:space="preserve">A. PRODUCT MARKETS  </w:t>
        <w:br/>
        <w:t xml:space="preserve">1. CONTAINERS  </w:t>
        <w:br/>
        <w:t xml:space="preserve">8. Decision-making practice considers that there are as many markets for containers as there are  </w:t>
        <w:br/>
        <w:t xml:space="preserve">materials used (glass, metal, plastic, paper)2. Segmentation based on the  </w:t>
        <w:br/>
        <w:t xml:space="preserve">destination of the containers has also been considered, but the question has been left open3.  </w:t>
        <w:br/>
        <w:t xml:space="preserve">2 See notably the decisions of the European Commission M. 6025 Ardagh / Impress of November 29, 2010; decision No. 11-DCC-201  </w:t>
        <w:br/>
        <w:t xml:space="preserve">of December 16, 2011, regarding the acquisition of exclusive control of the company Financière Vivaldi SAS by Oaktree Capital Group LLC.  </w:t>
        <w:br/>
        <w:t xml:space="preserve">3 See notably the decision of the European Commission M. 1539 CVC / Danone / Gerresheimer of July 5, 1999 and the  </w:t>
        <w:br/>
        <w:t>aforementioned decision No. 11-DCC-201.</w:t>
      </w:r>
    </w:p>
    <w:p>
      <w:r>
        <w:t xml:space="preserve">9. The European Commission has also considered that plastic tubes and so-called laminated tubes could constitute specific segments4.  </w:t>
        <w:br/>
        <w:t xml:space="preserve">10. In this case, the question of the precise delineation of the container markets can be left open, as the conclusions of the competitive analysis remain unchanged, regardless of the hypothesis adopted.  </w:t>
        <w:br/>
        <w:t xml:space="preserve">11. Both parties produce plastic containers, but only the Albéa target assets produce plastic tubes. Furthermore, the Silgan group also produces metal containers.  </w:t>
        <w:br/>
        <w:t xml:space="preserve">2. DISTRIBUTION SYSTEMS  </w:t>
        <w:br/>
        <w:t xml:space="preserve">12. Distribution systems refer to the different types of pumps that can equip a container. These systems are notably used for food, hygiene, and cosmetic products. Distribution systems, depending on the model, can simply dispense the product but can also foam it, spray it (perfumes, household products), or diffuse it in aerosol form.  </w:t>
        <w:br/>
        <w:t xml:space="preserve">13. Pumps are also distinguished by their mode of operation: some so-called atmospheric pumps allow air to enter the container at the time of product dispensing, while others are airtight (so-called "airless"), meaning that the dispensing of the product does not result in air entering.  </w:t>
        <w:br/>
        <w:t xml:space="preserve">14. The European Commission has considered segmenting the market for distribution systems, while leaving the question open, between airtight pumps and atmospheric pumps5.  </w:t>
        <w:br/>
        <w:t xml:space="preserve">15. The notifying party considers that the relevant market is the overall market for distribution systems insofar as the same pump can be used for several types of uses and that pumps are generally produced by the same machines (subject to changing the mold and reconfiguring the machines).  </w:t>
        <w:br/>
        <w:t xml:space="preserve">16. In this case, the question of the precise delineation of the market for distribution systems can be left open, as the competitive analysis remains unchanged, regardless of the hypothesis adopted.  </w:t>
        <w:br/>
        <w:t xml:space="preserve">17. Both parties produce distribution systems including airtight pumps and atmospheric pumps. The Albéa target assets also produce foam pumps and sample pumps, while the Silgan group produces trigger sprayers and aerosol pumps.  </w:t>
        <w:br/>
        <w:t xml:space="preserve">3. CAPS, CLOSURES, AND CAP COVERS  </w:t>
        <w:br/>
        <w:t xml:space="preserve">18. Caps, closures, and cap covers include notably lids and screw caps, caps that protect pumps (for example on perfume bottles), and integrated flap caps.  </w:t>
        <w:br/>
        <w:t xml:space="preserve">19. Decision-making practice has retained a specific market for metal caps (such as those sealing beer bottles)6. It has also considered a segmentation between the  </w:t>
        <w:br/>
        <w:t xml:space="preserve">4 See the decision of the European Commission M. 6665 Sun Capital / Rexam Personal and Home Care Packaging Business of October 29, 2012.  </w:t>
        <w:br/>
        <w:t xml:space="preserve">5 See the aforementioned decision M. 6665.  </w:t>
        <w:br/>
        <w:t>6 See the decision of the European Commission M. 603 Crown Cork &amp; Seal / CarnaudMetalbox of November 15, 1995.</w:t>
      </w:r>
    </w:p>
    <w:p>
      <w:r>
        <w:rPr>
          <w:b/>
        </w:rPr>
        <w:t>[Pages 4–6]</w:t>
      </w:r>
    </w:p>
    <w:p>
      <w:r>
        <w:t>plastic caps and metal caps (excluding caps)7. Furthermore, it considered, while leaving the question open, a specific market for caps intended for cosmetic products8.</w:t>
      </w:r>
    </w:p>
    <w:p>
      <w:r>
        <w:t>20. In this case, the question of the precise delineation of the market for caps and closures can be left open, as the conclusions of the competitive analysis remain unchanged, regardless of the hypothesis adopted.</w:t>
      </w:r>
    </w:p>
    <w:p>
      <w:r>
        <w:t>21. Both parties produce plastic caps.</w:t>
      </w:r>
    </w:p>
    <w:p>
      <w:r>
        <w:t>B. GEOGRAPHIC MARKETS</w:t>
      </w:r>
    </w:p>
    <w:p>
      <w:r>
        <w:t>22. Decision-making practice has considered, while leaving the question open, that the geographic dimension of the markets for metal and plastic containers was likely supranational9. In this case, the competitive analysis was conducted on markets of European dimension, these markets being concerned solely due to their connection to the various distribution systems markets, which have at least a European dimension10.</w:t>
      </w:r>
    </w:p>
    <w:p>
      <w:r>
        <w:t>23. It also considered that primary packaging for cosmetics (including plastic tubes, caps, and distribution systems) was at least of European dimension.11</w:t>
      </w:r>
    </w:p>
    <w:p>
      <w:r>
        <w:t>III. Competitive Analysis</w:t>
      </w:r>
    </w:p>
    <w:p>
      <w:r>
        <w:t>A. ANALYSIS OF HORIZONTAL EFFECTS</w:t>
      </w:r>
    </w:p>
    <w:p>
      <w:r>
        <w:t>24. Both parties produce distribution systems, in particular atmospheric and "airless" pumps for lotion. They also produce containers and plastic caps.</w:t>
      </w:r>
    </w:p>
    <w:p>
      <w:r>
        <w:t>25. The new entity will have a market share of less than 25% regardless of the segmentation adopted across all markets, except for the market for atmospheric pumps, where the market share of the new entity will reach [20-30]% with an addition of market shares of [10-20] points.</w:t>
      </w:r>
    </w:p>
    <w:p>
      <w:r>
        <w:t>26. In this market, the new entity will face competition from significant players such as Aptar, Coster, Aeropump, and TriMas Rieke12. It will also be confronted with competitive pressure from new players established in China.</w:t>
      </w:r>
    </w:p>
    <w:p>
      <w:r>
        <w:t>27. Furthermore, it appears that the parties are not the closest competitors, with the acquirer specializing in high-flow pumps for the hygiene, health, maintenance, and gardening sectors, while the Albéa target assets specialize in the marketing of atmospheric pumps with moderate flow primarily for beauty products.</w:t>
      </w:r>
    </w:p>
    <w:p>
      <w:r>
        <w:t>28. Consequently, the operation is not likely to harm competition through horizontal effects in the markets for containers, distribution systems, and caps and closures.</w:t>
      </w:r>
    </w:p>
    <w:p>
      <w:r>
        <w:t>B. ANALYSIS OF NON-HORIZONTAL EFFECTS</w:t>
      </w:r>
    </w:p>
    <w:p>
      <w:r>
        <w:t>29.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30. Furthermore, a concentration is likely to lead to conglomerate effects when the new entity extends or strengthens its presence in markets that are connected to other markets where it holds market power.</w:t>
      </w:r>
    </w:p>
    <w:p>
      <w:r>
        <w:t>31. However, decision-making practice generally considers that a risk of vertical or conglomerate effect can be ruled out as long as the market share of the company resulting from the operation in the relevant markets does not exceed 30%13.</w:t>
      </w:r>
    </w:p>
    <w:p>
      <w:r>
        <w:t>32. In this case, there is a link between the different primary packaging produced by the parties (distribution system, cap, and container).</w:t>
      </w:r>
    </w:p>
    <w:p>
      <w:r>
        <w:t>33. The new entity will have a market share exceeding 30% in the sole segment of foam pumps, with the target assets holding a market share of [30-40]% at the European level14, without the operation leading to an increase in market share.</w:t>
      </w:r>
    </w:p>
    <w:p>
      <w:r>
        <w:t>34. However, any risk of tying can be ruled out for several reasons.</w:t>
      </w:r>
    </w:p>
    <w:p>
      <w:r>
        <w:t>35. First, the new entity will face competition from several significant competitors such as TriMas Rieke, Yonwoo, Apollo, Daiwa, CLC Luncheong, and Yoshino. Furthermore, the barriers to entry in the market are low, with the notifying party noting the recent entry into the European market of Chinese producers capable of gaining market shares in the European Economic Area.</w:t>
      </w:r>
    </w:p>
    <w:p>
      <w:r>
        <w:t>36. Additionally, the ability to implement a tying strategy is limited by the different specializations of the parties. Indeed, the acquirer's production of plastic containers is primarily oriented towards the food and hygiene sector, while the target's production of pumps is essentially aimed at the cosmetics sector.</w:t>
      </w:r>
    </w:p>
    <w:p>
      <w:r>
        <w:t>37. Moreover, these markets operate through tenders, which generally target only one type of packaging (distribution system, closure, or container) and one type of product to be marketed. This tendering process limits the ability of the new entity to leverage its position in foam pumps to other markets for distribution systems, containers, or closures.</w:t>
      </w:r>
    </w:p>
    <w:p>
      <w:r>
        <w:t>38. Finally, the customers of the assets are companies with significant market power in the cosmetics or hygiene sector such as Unilever, Henkel, Gojo, Newell Rubbermaid, Johnson &amp; Johnson, Ecolab Inc, and Procter &amp; Gamble. These players will be able to defuse any lock-in mechanism.</w:t>
      </w:r>
    </w:p>
    <w:p>
      <w:r>
        <w:t>39. Consequently, the operation is not likely to harm competition through non-horizontal effects in the markets for containers, caps and closures, and distribution systems.</w:t>
      </w:r>
    </w:p>
    <w:p>
      <w:r>
        <w:t>DECIDES</w:t>
      </w:r>
    </w:p>
    <w:p>
      <w:r>
        <w:t>Sole Article: The notified operation under number 20-040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