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https://www.autoritedelaconcurrence.fr/fr/decision-de-controle-des-concentrations/relative-la-prise-de-controle-exclusif-dactifs-francais-du</w:t>
      </w:r>
    </w:p>
    <w:p>
      <w:r>
        <w:t>Pages translated : 2</w:t>
      </w:r>
    </w:p>
    <w:p/>
    <w:p>
      <w:r>
        <w:rPr>
          <w:b/>
        </w:rPr>
        <w:t>[Pages 1–2]</w:t>
      </w:r>
    </w:p>
    <w:p>
      <w:r>
        <w:t xml:space="preserve">FRENCH REPUBLIC  </w:t>
        <w:br/>
        <w:t xml:space="preserve">Decision No. 14-DCC-102 of July 9, 2014  </w:t>
        <w:br/>
        <w:t>regarding the exclusive control acquisition of French assets of the Fagor group by the Cevital group</w:t>
      </w:r>
    </w:p>
    <w:p>
      <w:r>
        <w:t>The Competition Authority,</w:t>
      </w:r>
    </w:p>
    <w:p>
      <w:r>
        <w:t>Having regard to the notification file sent to the mergers department on February 20, 2014, and declared complete on June 19, 2014, concerning the exclusive control acquisition of the companies Fagor France SA, Fagorbrandt SAS, Brandt Appliances SAS, Brandt Snc, Fagor Electroménager SAS, and Brandt Customer Services SAS by the Cevital group, formalized by a takeover offer dated January 17, 2014, and the judgments of the Nanterre Commercial Court of April 15, 2014;</w:t>
      </w:r>
    </w:p>
    <w:p>
      <w:r>
        <w:t>Having regard to Book IV of the Commercial Code relating to the freedom of prices and competition, and in particular its Articles L. 430-1 to L. 430-7;</w:t>
      </w:r>
    </w:p>
    <w:p>
      <w:r>
        <w:t>Having regard to the supplementary elements submitted by the parties during the investigation;</w:t>
      </w:r>
    </w:p>
    <w:p>
      <w:r>
        <w:t xml:space="preserve">Adopts the following decision:  </w:t>
        <w:br/>
        <w:t xml:space="preserve">1. The notified operation consists of the exclusive control acquisition of the companies Fagor France SA, Fagorbrandt SAS, Brandt Appliances SAS, Brandt Snc, Fagor Electroménager SAS, and Brandt Customer Services SAS, active in the manufacturing and marketing of household appliances in Europe, by the Algerian group Cevital, primarily active in the agri-food sector but also in the manufacturing and marketing of household appliances in the Maghreb. It constitutes a concentration operation within the meaning of Article L. 430-1 of the Commercial Code. Given the revenues generated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14-028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