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https://www.autoritedelaconcurrence.fr/fr/decision-de-controle-des-concentrations/relative-la-prise-de-controle-exclusif-dactifs-immobiliers</w:t>
      </w:r>
    </w:p>
    <w:p>
      <w:r>
        <w:t>Pages translated : 5</w:t>
      </w:r>
    </w:p>
    <w:p/>
    <w:p>
      <w:r>
        <w:rPr>
          <w:b/>
        </w:rPr>
        <w:t>[Pages 1–3]</w:t>
      </w:r>
    </w:p>
    <w:p>
      <w:r>
        <w:t xml:space="preserve">FRENCH REPUBLIC  </w:t>
        <w:br/>
        <w:t xml:space="preserve">Decision No. 15-DCC-137 of October 13, 2015  </w:t>
        <w:br/>
        <w:t xml:space="preserve">regarding the exclusive control of real estate assets by  </w:t>
        <w:br/>
        <w:t>Blackstone Group</w:t>
      </w:r>
    </w:p>
    <w:p>
      <w:r>
        <w:t xml:space="preserve">The Competition Authority,  </w:t>
        <w:br/>
        <w:t xml:space="preserve">Having regard to the notification file submitted in full to the merger service on  </w:t>
        <w:br/>
        <w:t xml:space="preserve">September 9, 2015, regarding the exclusive control of real estate assets by Blackstone  </w:t>
        <w:br/>
        <w:t xml:space="preserve">Group LP, formalized by a memorandum of understanding dated April 10, 2015, amended on July 15, 2015;  </w:t>
        <w:br/>
        <w:t xml:space="preserve">Having regard to Book IV of the Commercial Code relating to the freedom of prices and competition, and  </w:t>
        <w:br/>
        <w:t xml:space="preserve">notably its Articles L. 430-1 to L. 430-7;  </w:t>
        <w:br/>
        <w:t>Adopts the following decision:</w:t>
      </w:r>
    </w:p>
    <w:p>
      <w:r>
        <w:t xml:space="preserve">I. The concerned companies and the operation  </w:t>
        <w:br/>
        <w:t xml:space="preserve">1. Blackstone Group LP (hereinafter, "Blackstone") is a fund management company listed on the  </w:t>
        <w:br/>
        <w:t xml:space="preserve">New York Stock Exchange. In France, Blackstone controls companies active in the pharmaceutical,  </w:t>
        <w:br/>
        <w:t xml:space="preserve">hospitality, and media sectors. It also holds commercial real estate assets, including logistics platforms,  </w:t>
        <w:br/>
        <w:t xml:space="preserve">warehouses, hotels, offices, and retail spaces.  </w:t>
        <w:br/>
        <w:t xml:space="preserve">2. The real estate assets subject to the present operation (hereinafter, "the target assets") consist of  </w:t>
        <w:br/>
        <w:t xml:space="preserve">logistics platforms, warehouses, hotel properties, offices, and retail spaces, previously held by General  </w:t>
        <w:br/>
        <w:t xml:space="preserve">Electric Capital Corporation.  </w:t>
        <w:br/>
        <w:t xml:space="preserve">3. Under the memorandum of understanding dated April 10, 2015, amended on July 15, 2015,  </w:t>
        <w:br/>
        <w:t xml:space="preserve">the operation consists of Blackstone acquiring all of the target assets. As it results in the exclusive control  </w:t>
        <w:br/>
        <w:t xml:space="preserve">of the target assets by Blackstone, the operation constitutes a concentration within the meaning of  </w:t>
        <w:br/>
        <w:t xml:space="preserve">Article L. 430-1 of the Commercial Code.  </w:t>
        <w:br/>
        <w:t xml:space="preserve">4. The concerned companies have achieved a consolidated worldwide turnover excluding taxes of more than  </w:t>
        <w:br/>
        <w:t xml:space="preserve">150 million euros (Blackstone: [...] euros during the fiscal year ending December 31, 2014; target assets:  </w:t>
        <w:br/>
        <w:t xml:space="preserve">[...] euros for the same fiscal year). Each of these companies has achieved, in France, a turnover exceeding  </w:t>
        <w:br/>
        <w:t xml:space="preserve">50 million euros (Blackstone: [...] euros during the fiscal year ending December 31, 2014; target assets:  </w:t>
        <w:br/>
        <w:t xml:space="preserve">[...] euros for the same fiscal year). Given the turnovers of the companies concerned, it does not fall under  </w:t>
        <w:br/>
        <w:t xml:space="preserve">the jurisdiction of the European Union. However, the control thresholds mentioned in Article L. 430-2-I of  </w:t>
        <w:br/>
        <w:t xml:space="preserve">the Commercial Code are exceeded. The present operation is therefore subject to the provisions of Articles  </w:t>
        <w:br/>
        <w:t>L. 430-3 and following of the Commercial Code.</w:t>
      </w:r>
    </w:p>
    <w:p>
      <w:r>
        <w:t xml:space="preserve">II. Definition of Relevant Markets  </w:t>
        <w:br/>
        <w:t xml:space="preserve">5. The parties are both present in the real estate services market1.  </w:t>
        <w:br/>
        <w:t xml:space="preserve">A. THE MARKETS OF SERVICES  </w:t>
        <w:br/>
        <w:t xml:space="preserve">6. National2 and European3 decision-making practice has considered, while leaving the question open,  </w:t>
        <w:br/>
        <w:t xml:space="preserve">various segmentations in the real estate sector according to (i) the recipients of the services (individuals or  </w:t>
        <w:br/>
        <w:t xml:space="preserve">businesses), (ii) the pricing method (free residential real estate, social housing, or assisted intermediate housing),  </w:t>
        <w:br/>
        <w:t xml:space="preserve">(iii) the type of activity carried out in the premises (offices, commercial premises, and other activity premises,  </w:t>
        <w:br/>
        <w:t xml:space="preserve">such as warehouses or hotels4), and (iv) the nature of the services or goods offered.  </w:t>
        <w:br/>
        <w:t xml:space="preserve">7. For this last segmentation, the following services have been identified:  </w:t>
        <w:br/>
        <w:t xml:space="preserve">- real estate development5, which includes construction and sale activities of real estate;  </w:t>
        <w:br/>
        <w:t xml:space="preserve">- management of real estate assets for own account6;  </w:t>
        <w:br/>
        <w:t xml:space="preserve">1 Blackstone also owns hotels managed for its own account, and the target assets consist of real estate complexes intended for  </w:t>
        <w:br/>
        <w:t xml:space="preserve">hospitality activities. The operation is therefore likely to present vertical effects. However, the target only holds two real estate  </w:t>
        <w:br/>
        <w:t xml:space="preserve">complexes, located in different departments from the hotels owned by Blackstone. The operation is therefore not likely to harm  </w:t>
        <w:br/>
        <w:t xml:space="preserve">competition in the hospitality sector, which will not be subject to a more detailed competitive analysis in this  </w:t>
        <w:br/>
        <w:t xml:space="preserve">decision.  </w:t>
        <w:br/>
        <w:t xml:space="preserve">2 See notably the decision of the Competition Authority No. 12-DCC-18 of February 13, 2012, regarding the exclusive control of  </w:t>
        <w:br/>
        <w:t xml:space="preserve">Société Immobilière de Location pour l’Industrie et le Commerce by Icade; the decision of the Competition Authority No. 11-  </w:t>
        <w:br/>
        <w:t xml:space="preserve">DCC-138 of September 30, 2011, regarding the exclusive control by Altarea of Urbat Promotion; the decision of the  </w:t>
        <w:br/>
        <w:t xml:space="preserve">Competition Authority No. 10-DCC-112 of September 17, 2010, regarding the joint control by Prédica and Altaréa of Alta  </w:t>
        <w:br/>
        <w:t xml:space="preserve">Marigny Carré de Soie; the decision of the Competition Authority No. 10-DCC-13 of January 29, 2010, regarding the  </w:t>
        <w:br/>
        <w:t xml:space="preserve">exclusive control by Icade S.A. of Compagnie la Lucette S.A., and the letter from the Minister of Economy, Industry and  </w:t>
        <w:br/>
        <w:t xml:space="preserve">Employment C2008-49 of July 9, 2008, to the board of Sofade, regarding a concentration in the real estate sector.  </w:t>
        <w:br/>
        <w:t xml:space="preserve">3 See notably the decision of the European Commission COMP/M.3370, BNP Paribas/ARI, of March 9, 2004.  </w:t>
        <w:br/>
        <w:t xml:space="preserve">4 See the decision of the European Commission COMP/M.2863 Morgan Stanley / Olivetti / Telecom Italia / Tiglio of August 30, 2002.  </w:t>
        <w:br/>
        <w:t xml:space="preserve">5 See the letter from the Minister of Economy, Finance and Employment C2007-166 of December 20, 2007, to the advisors of the  </w:t>
        <w:br/>
        <w:t xml:space="preserve">Nexity group, regarding a concentration in the real estate development sector, B.O.C.C.R.F. No. 2 bis of February 28, 2008.  </w:t>
        <w:br/>
        <w:t xml:space="preserve">6 See the letter from the Minister of Economy, Finance and Industry C2005-126 of January 25, 2006, to the advisors of Perexia  </w:t>
        <w:br/>
        <w:t xml:space="preserve">regarding a concentration in the real estate services sector, B.O.C.C.R.F. No. 6 of June 21, 2006, and the letter from the  </w:t>
        <w:br/>
        <w:t xml:space="preserve">Minister of Economy, Finance and Industry C2007-45 of May 10, 2007, to the advisors of Lehman Brothers, regarding a  </w:t>
        <w:br/>
        <w:t xml:space="preserve">concentration in the real estate sector, B.O.C.C.R.F. No. 7 bis of September 14, 2007.  </w:t>
        <w:br/>
        <w:t xml:space="preserve">2  </w:t>
        <w:br/>
        <w:t xml:space="preserve">- the management of real estate assets on behalf of third parties (institutional investors, primarily banks and  </w:t>
        <w:br/>
        <w:t xml:space="preserve">insurance companies), which includes advising and managing real estate portfolios (arbitrage and asset valuation),  </w:t>
        <w:br/>
        <w:t xml:space="preserve">structuring real estate investment operations, and managing real estate assets and specialized investment vehicles  </w:t>
        <w:br/>
        <w:t xml:space="preserve">(notably real estate civil companies);  </w:t>
        <w:br/>
        <w:t xml:space="preserve">- the administration of real estate properties, which includes the management activities of buildings on behalf of owners  </w:t>
        <w:br/>
        <w:t xml:space="preserve">and can be segmented between rental management and co-ownership management;  </w:t>
        <w:br/>
        <w:t xml:space="preserve">- real estate appraisal;  </w:t>
        <w:br/>
        <w:t xml:space="preserve">- real estate consulting;  </w:t>
        <w:br/>
        <w:t xml:space="preserve">- brokerage in real estate transactions for which brokerage in purchase/sale operations is distinguished from brokerage in  </w:t>
        <w:br/>
        <w:t xml:space="preserve">rental operations7.  </w:t>
        <w:br/>
        <w:t xml:space="preserve">8. In this case, the parties are simultaneously active in the segment of management of real estate assets for their own  </w:t>
        <w:br/>
        <w:t xml:space="preserve">account, for use as warehouses and logistics platforms. Regarding these last two activities, the notifying party confirms that  </w:t>
        <w:br/>
        <w:t xml:space="preserve">warehouses and logistics platforms meet different needs: logistics platforms are temporary storage areas where products  </w:t>
        <w:br/>
        <w:t xml:space="preserve">transit for a few hours before being shipped to other destinations, while warehouses are storage areas where products  </w:t>
        <w:br/>
        <w:t xml:space="preserve">are stored for a longer duration, before being used as is or transformed.  </w:t>
        <w:br/>
        <w:t xml:space="preserve">9. The question of the exact delimitation of markets in the real estate sector can, however, be left open insofar as,  </w:t>
        <w:br/>
        <w:t xml:space="preserve">regardless of the delimitation retained, the conclusions of the competitive analysis will remain unchanged.  </w:t>
        <w:br/>
        <w:t xml:space="preserve">B. THE GEOGRAPHICAL MARKETS  </w:t>
        <w:br/>
        <w:t xml:space="preserve">10. Decision-making practice8 has considered that markets related to the real estate sector are generally of  </w:t>
        <w:br/>
        <w:t xml:space="preserve">subnational dimension, while leaving the question open. It has also considered a delimitation at the national level for  </w:t>
        <w:br/>
        <w:t xml:space="preserve">the markets of real estate services intended for businesses when investment operations are carried out by large investors9.  </w:t>
        <w:br/>
        <w:t xml:space="preserve">11. Regarding Ile-de-France, decision-making practice10 has noted that "the Paris region has particular properties of  </w:t>
        <w:br/>
        <w:t xml:space="preserve">continuity of urban areas. Indeed, there exists a  </w:t>
        <w:br/>
        <w:t xml:space="preserve">7 See the letter from the Minister of Economy, Finance and Industry C2005-126 of January 25, 2006, to the advisors of Perexia  </w:t>
        <w:br/>
        <w:t xml:space="preserve">regarding a concentration in the real estate services sector, B.O.C.C.R.F. No. 6 of June 21, 2006.  </w:t>
        <w:br/>
        <w:t xml:space="preserve">8 See notably the decision of the Competition Authority No. 10-DCC-13 of January 29, 2010, regarding the control by Icade SA  </w:t>
        <w:br/>
        <w:t xml:space="preserve">of Compagnie La Lucette SA; the decision of the Competition Authority No. 09-DCC-16 of June 22, 2009, regarding the merger  </w:t>
        <w:br/>
        <w:t xml:space="preserve">between Caisse d’Epargne and Banque Populaire groups; the letter from the Minister of Economy, Finance and Industry  </w:t>
        <w:br/>
        <w:t xml:space="preserve">C2005-108 of November 25, 2005, to the advisors of Foncière des régions regarding a concentration in the real estate sector,  </w:t>
        <w:br/>
        <w:t xml:space="preserve">B.O.C.C.R.F. No. 6 bis of June 21, 2006; and the decision of the European Commission COMP/M.2825 of July 9, 2002,  </w:t>
        <w:br/>
        <w:t xml:space="preserve">Fortis AG SA / Bernheim-Comofi SA.  </w:t>
        <w:br/>
        <w:t xml:space="preserve">9 See notably decision No. 09-DCC-16 of June 22, 2009, regarding the merger between Caisse d’Épargne and Banque Populaire  </w:t>
        <w:br/>
        <w:t xml:space="preserve">groups and the decision of the Competition Authority No. 10-DCC-112 of September 17, 2010, regarding the joint control by  </w:t>
        <w:br/>
        <w:t xml:space="preserve">Prédica and Altaréa of Alta Marigny Carré des Soies.  </w:t>
        <w:br/>
        <w:t xml:space="preserve">10 See notably the decision of the Competition Authority No. 10-DCC-13 mentioned above and the letter from the Minister of  </w:t>
        <w:br/>
        <w:t xml:space="preserve">Economy, Finance and Industry C2006-151 of January 10, 2007, to the board of Société nationale immobilière, regarding a  </w:t>
        <w:br/>
        <w:t xml:space="preserve">concentration in the sector of development and management of real estate parks primarily intended for residential use,  </w:t>
        <w:br/>
        <w:t xml:space="preserve">B.O.C.C.R.F. No. 3 bis of March 23, 2007.  </w:t>
        <w:br/>
        <w:t>3</w:t>
      </w:r>
    </w:p>
    <w:p>
      <w:r>
        <w:rPr>
          <w:b/>
        </w:rPr>
        <w:t>[Pages 4–5]</w:t>
      </w:r>
    </w:p>
    <w:p>
      <w:r>
        <w:t>a vast, highly urbanized, and homogeneous area covering most of the Ile-de-France, served by a comprehensive transport network; residents are always able to arbitrate between different parts of the region. This substitutability leads to a convergence in prices. Therefore, the regional level is the most appropriate for competitive analysis."</w:t>
      </w:r>
    </w:p>
    <w:p>
      <w:r>
        <w:t>12. The question of the geographical delimitation of the real estate services market can be left open, insofar as, regardless of the delimitation considered, the conclusions of the competitive analysis will remain unchanged.</w:t>
      </w:r>
    </w:p>
    <w:p>
      <w:r>
        <w:t>III. Competitive Analysis</w:t>
      </w:r>
    </w:p>
    <w:p>
      <w:r>
        <w:t>13. The activities of the parties overlap in the real estate services market, concerning the management of real estate assets on their own account for warehouse and logistics platform use.</w:t>
      </w:r>
    </w:p>
    <w:p>
      <w:r>
        <w:t>14. In the overall market for the management of real estate assets on their own account encompassing warehouses and logistics platforms, the activities of the parties overlap in the departments of Loiret (45), Haute-Garonne (31), Nord (59), Pas-de-Calais (62), Bouches du Rhône (13), Isère (38), Rhône (69), and in the Ile-de-France region. For all these areas, the notifying party estimates that the market share of the new entity will be below [5-10]%, with the operation resulting in a market share increment of less than [0-5]%. In this market, the new entity will face competition from numerous players including Prologis, Argan, AEW Europe, and AXA.</w:t>
      </w:r>
    </w:p>
    <w:p>
      <w:r>
        <w:t>15. In the narrower market for the management of real estate assets on their own account for warehouse use, the activities of the parties overlap in Loiret (45), Nord (59), Bouches du Rhône (13), Isère (38), and in the Ile-de-France region. However, for all these areas, the notifying party estimates that the market share of the new entity will be below [5-10]%, with the operation resulting in a market share increment of less than [0-5]%.</w:t>
      </w:r>
    </w:p>
    <w:p>
      <w:r>
        <w:t>16. Finally, in the market for the management of real estate assets on their own account for logistics platform use, the activities of the parties overlap in Nord (59) and Pas-de-Calais (62). In these two departments, the notifying party estimates that the market share of the new entity will not exceed [5-10]%.</w:t>
      </w:r>
    </w:p>
    <w:p>
      <w:r>
        <w:t>17. Consequently, the present operation is not likely to harm competition through horizontal effects.</w:t>
      </w:r>
    </w:p>
    <w:p>
      <w:r>
        <w:t>DECIDES</w:t>
      </w:r>
    </w:p>
    <w:p>
      <w:r>
        <w:t>Sole Article: The operation notified under number 15-129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