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https://www.autoritedelaconcurrence.fr/fr/decision-de-controle-des-concentrations/relative-la-prise-de-controle-exclusif-dactifs-incorporels</w:t>
      </w:r>
    </w:p>
    <w:p>
      <w:r>
        <w:t>Pages translated : 2</w:t>
      </w:r>
    </w:p>
    <w:p/>
    <w:p>
      <w:r>
        <w:rPr>
          <w:b/>
        </w:rPr>
        <w:t>[Pages 1–2]</w:t>
      </w:r>
    </w:p>
    <w:p>
      <w:r>
        <w:t xml:space="preserve">FRENCH REPUBLIC  </w:t>
        <w:br/>
        <w:t xml:space="preserve">Decision No. 24-DCC-161 of July 19, 2024  </w:t>
        <w:br/>
        <w:t xml:space="preserve">regarding the exclusive control of intangible assets of Camaïeu  </w:t>
        <w:br/>
        <w:t xml:space="preserve">by the Celio group  </w:t>
        <w:br/>
        <w:t>The Competition Authority,</w:t>
      </w:r>
    </w:p>
    <w:p>
      <w:r>
        <w:t xml:space="preserve">Having regard to the complete notification file sent to the mergers department on July 1, 2024,  </w:t>
        <w:br/>
        <w:t>concerning the exclusive control of intangible assets of the company ACIAM SAS by the Celio International group, through the company Celio France SAS, formalized by an intellectual property rights transfer agreement dated December 21, 2022;</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by the company Celio France, belonging to the Celio International group, of a portfolio of brands, logos, domain names, and login identifiers for eight social media accounts of the brand "Camaïeu," from the company ACIAM. Both parties are active in the ready-to-wear clothing sector, with the Celio group specializing in the retail sale of men's clothing while the target assets concern women's clothing. The operation constitutes a concentration within the meaning of Article L. 430-1 of the Commercial Code. Given the revenues generated by the companies involved,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In light of the elements of the file, the operation is not likely to harm competition in the relevant markets.  </w:t>
        <w:br/>
        <w:t>1 The notified operation does not fall under the specific thresholds for retail trade as no retail outlet under the brand "Camaïeu" is among the target assets. Based on the elements of the file submitted, the Authority considered that a revenue exceeding 50 million euros in France could be attributed to the intangible assets concerned by the operation.</w:t>
      </w:r>
    </w:p>
    <w:p>
      <w:r>
        <w:t xml:space="preserve">DECIDES  </w:t>
        <w:br/>
        <w:t xml:space="preserve">Sole Article: The operation notified under number 23-008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