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https://www.autoritedelaconcurrence.fr/fr/decision-de-controle-des-concentrations/relative-la-prise-de-controle-exclusif-dactivites-de-0</w:t>
      </w:r>
    </w:p>
    <w:p>
      <w:r>
        <w:t>Pages translated : 4</w:t>
      </w:r>
    </w:p>
    <w:p/>
    <w:p>
      <w:r>
        <w:rPr>
          <w:b/>
        </w:rPr>
        <w:t>[Pages 1–3]</w:t>
      </w:r>
    </w:p>
    <w:p>
      <w:r>
        <w:t xml:space="preserve">FRENCH REPUBLIC  </w:t>
        <w:br/>
        <w:t xml:space="preserve">Decision No. 16-DCC-68 of May 13, 2016  </w:t>
        <w:br/>
        <w:t>regarding the exclusive control of automotive distribution activities by NDK over the companies Sète Exploitation Automobiles, L’Occitane Automobiles, and Diffusion Automobile Clermontaise</w:t>
      </w:r>
    </w:p>
    <w:p>
      <w:r>
        <w:t xml:space="preserve">The Competition Authority,  </w:t>
        <w:br/>
        <w:t xml:space="preserve">Having regard to the notification file submitted in full to the concentrations service on April 13, 2016, regarding the exclusive control of the companies Sète Exploitation Automobiles, L’Occitane Automobiles, and Diffusion Automobile Clermontaise, operating dealerships under the Renault and Dacia brands, and formalized by a share transfer protocol under suspensive conditions dated April 8, 2016;  </w:t>
        <w:br/>
        <w:t xml:space="preserve">Having regard to Book IV of the Commercial Code relating to price freedom and competition, and in particular its Articles L. 430-1 to L. 430-7;  </w:t>
        <w:br/>
        <w:t xml:space="preserve">Having regard to the elements transmitted during the investigation;  </w:t>
        <w:br/>
        <w:t>Adopts the following decision:</w:t>
      </w:r>
    </w:p>
    <w:p>
      <w:r>
        <w:t xml:space="preserve">I. The companies concerned and the operation  </w:t>
        <w:br/>
        <w:t xml:space="preserve">1. NDK is a French law holding company of the Tressol-Chabrier family group active in the distribution of motor vehicles under various brands. The dealerships controlled by NDK are located in the southern part of France, primarily in the Languedoc-Roussillon region.  </w:t>
        <w:br/>
        <w:t xml:space="preserve">2. The companies Sète Exploitation Automobiles, L’Occitane Automobiles, and Diffusion Automobile Clermontaise are owned by Société Financière Randon So Fi Ran. These companies operate Renault and Dacia brand car dealerships located in the department of Hérault (34).  </w:t>
        <w:br/>
        <w:t xml:space="preserve">3. The operation, formalized by a share transfer protocol under suspensive conditions dated April 8, 2016, concerns the acquisition, by NDK, of the shares of the three companies (hereinafter, "the target companies"). As it results in the exclusive control of the target companies by NDK, the notified operation constitutes a concentration within the meaning of Article L.430-1 of the Commercial Code.  </w:t>
        <w:br/>
        <w:t>4. The companies concerned together achieve a total worldwide turnover of more than 75 million euros (NDK: 388 million euros for the fiscal year ending December 31, 2014; the target companies: 63 million euros for the same fiscal year). The companies concerned achieve in France in the automotive distribution sector a turnover exceeding 15 million euros (NDK: 388 million euros for the fiscal year ending December 31, 2014; the target companies: 63 million euros for the same fiscal year). Given these turnovers, the operation does not fall under the jurisdiction of the European Union. However, the control thresholds mentioned in point II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DELIMITATION OF PRODUCT AND SERVICE MARKETS  </w:t>
        <w:br/>
        <w:t xml:space="preserve">5. In the automotive distribution sector, the decisional practice1 distinguishes (i) the distribution of new passenger vehicles intended for private customers; (ii) the distribution of new passenger vehicles intended for professional customers; (iii) the distribution of commercial vehicles; (iv) the distribution of used vehicles; (v) the distribution of spare parts and automotive accessories; (vi) vehicle maintenance and repair services; (vii) rental services.  </w:t>
        <w:br/>
        <w:t xml:space="preserve">6. There is no need to challenge these delimitations during the examination of the present operation.  </w:t>
        <w:br/>
        <w:t>7. The companies concerned are simultaneously present in all of these markets, with the exception of rental services.</w:t>
      </w:r>
    </w:p>
    <w:p>
      <w:r>
        <w:t xml:space="preserve">B. GEOGRAPHICAL DELIMITATION OF MARKETS  </w:t>
        <w:br/>
        <w:t xml:space="preserve">8. Regarding the retail sale of new or used motor vehicles, spare parts, and automotive accessories, as well as vehicle maintenance and repair services, the decisional practice2 adopts a local definition, with the analysis generally conducted at the departmental level.  </w:t>
        <w:br/>
        <w:t xml:space="preserve">9. Furthermore, in operations where the acquirer is active in the neighboring departments of those in which the target companies are present, the Authority also conducts a competitive analysis on a market extended to all of these departments.  </w:t>
        <w:br/>
        <w:t xml:space="preserve">1 See in particular Decision No. 15-DCC-143 of October 27, 2015, regarding the exclusive control by Lamirault Finances of the companies Jean Redele-Melun and Jean Redele-Brie.  </w:t>
        <w:br/>
        <w:t>2 See the aforementioned decision.</w:t>
      </w:r>
    </w:p>
    <w:p>
      <w:r>
        <w:t>10. In the present case, the parties are simultaneously active in the department of Hérault (34). Furthermore, the NDK group operates car dealerships in the department of Aude (11). The competitive analysis will therefore be conducted on the department of Hérault (34) and on a market comprising the departments of Hérault (34) and Aude (11).</w:t>
      </w:r>
    </w:p>
    <w:p>
      <w:r>
        <w:t xml:space="preserve">III. Competitive Analysis  </w:t>
        <w:br/>
        <w:t xml:space="preserve">A. VEHICLE SALES MARKETS  </w:t>
        <w:br/>
        <w:t xml:space="preserve">11. Regarding the calculation of market shares, the decisional practice3 uses as an indicator the ratio between the sales of new vehicles made by the parties in the departments concerned by the operation and the total registrations of new vehicles recorded in these same departments by the prefectures.  </w:t>
        <w:br/>
        <w:t xml:space="preserve">12. On the various markets concerned by the operation, the parties to the concentration present the following market shares:  </w:t>
        <w:br/>
        <w:t xml:space="preserve">Hérault (34) and  </w:t>
        <w:br/>
        <w:t xml:space="preserve">Hérault (34)  </w:t>
        <w:br/>
        <w:t xml:space="preserve">Aude (11)  </w:t>
        <w:br/>
        <w:t xml:space="preserve">Market share in number of vehicles  </w:t>
        <w:br/>
        <w:t xml:space="preserve">Companies  </w:t>
        <w:br/>
        <w:t xml:space="preserve">NDK Cumulative Cumulative  </w:t>
        <w:br/>
        <w:t xml:space="preserve">target companies  </w:t>
        <w:br/>
        <w:t xml:space="preserve">Distribution of new passenger vehicles to private customers  </w:t>
        <w:br/>
        <w:t xml:space="preserve">9.69% 6.56% 16.25% 16.88%  </w:t>
        <w:br/>
        <w:t xml:space="preserve">Distribution of new passenger vehicles intended for professional customers  </w:t>
        <w:br/>
        <w:t xml:space="preserve">8.76% 8.78% 17.54% 19.63%  </w:t>
        <w:br/>
        <w:t xml:space="preserve">Distribution of commercial vehicles  </w:t>
        <w:br/>
        <w:t xml:space="preserve">6.89% 5.39% 12.28% 12.72%  </w:t>
        <w:br/>
        <w:t xml:space="preserve">Distribution of used vehicles  </w:t>
        <w:br/>
        <w:t xml:space="preserve">2.57% 2.67% 5.24% 5.84%  </w:t>
        <w:br/>
        <w:t xml:space="preserve">13. The market shares of the entity resulting from the concentration will remain below 20% in the department of Hérault (34) across all relevant markets. The market shares of the new entity are also below 20% in the territory comprising the departments of Hérault (34) and Aude (11). Furthermore, the NDK group will remain in competition with other independent Renault dealers (including two present in the department of Hérault) as well as with dealers of competing brands.  </w:t>
        <w:br/>
        <w:t xml:space="preserve">14. The operation is therefore not likely to harm competition in these markets.  </w:t>
        <w:br/>
        <w:t>3 See the aforementioned decision.</w:t>
      </w:r>
    </w:p>
    <w:p>
      <w:r>
        <w:rPr>
          <w:b/>
        </w:rPr>
        <w:t>[Pages 4–4]</w:t>
      </w:r>
    </w:p>
    <w:p>
      <w:r>
        <w:t>B. MARKETS FOR SPARE PARTS, MAINTENANCE, AND REPAIR SERVICES</w:t>
      </w:r>
    </w:p>
    <w:p>
      <w:r>
        <w:t>15. In the retail market for automotive spare parts and accessories and in the market for maintenance and repair services for motor vehicles, the parties have not been able to provide their market shares. However, the NDK group will continue to face competition in the concerned departments from several other Renault dealers and numerous independent garages and repairers, as well as specialized brands such as Speedy, Norauto, Midas, Feu Vert, or Profil Plus, which are likely to offer consumers identical or equivalent quality spare parts and accessories, as well as maintenance and repair services for motor vehicles similar to those distributed by the NDK group.</w:t>
      </w:r>
    </w:p>
    <w:p>
      <w:r>
        <w:t>16. Given the above elements, the operation is not likely to harm competition in the concerned markets.</w:t>
      </w:r>
    </w:p>
    <w:p>
      <w:r>
        <w:t>DECIDES</w:t>
      </w:r>
    </w:p>
    <w:p>
      <w:r>
        <w:t>Sole Article: The operation notified under number 16-009 is authorized.</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