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https://www.autoritedelaconcurrence.fr/fr/decision-de-controle-des-concentrations/relative-la-prise-de-controle-exclusif-dactivites-de-1</w:t>
      </w:r>
    </w:p>
    <w:p>
      <w:r>
        <w:t>Pages translated : 2</w:t>
      </w:r>
    </w:p>
    <w:p/>
    <w:p>
      <w:r>
        <w:rPr>
          <w:b/>
        </w:rPr>
        <w:t>[Pages 1–2]</w:t>
      </w:r>
    </w:p>
    <w:p>
      <w:r>
        <w:t xml:space="preserve">FRENCH REPUBLIC  </w:t>
        <w:br/>
        <w:t xml:space="preserve">Decision No. 21-DCC-149 of August 30, 2021  </w:t>
        <w:br/>
        <w:t xml:space="preserve">regarding the exclusive control acquisition of automobile distribution activities by Axone Automobiles from Neubauer Distribution Volkswagen  </w:t>
        <w:br/>
        <w:t xml:space="preserve">The Competition Authority,  </w:t>
        <w:br/>
        <w:t xml:space="preserve">Having regard to the complete notification file submitted to the mergers department on August 4, 2021, concerning the exclusive control acquisition of automobile distribution activities by Axone Automobiles from Neubauer Distribution Volkswagen, formalized by a letter of intent dated April 8,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Axone Automobiles, a subsidiary of the Volkswagen Group Retail France, active in the automobile distribution sector, of all or parts of the assets comprising three automobile dealership businesses operated under the Volkswagen brand by Neubauer Distribution Volkswagen, located in Boulogne-Billancourt (92) and in Paris (15th and 16th arrondissements).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21-140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