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https://www.autoritedelaconcurrence.fr/fr/decision-de-controle-des-concentrations/relative-la-prise-de-controle-exclusif-dalpha-direct</w:t>
      </w:r>
    </w:p>
    <w:p>
      <w:r>
        <w:t>Pages translated : 7</w:t>
      </w:r>
    </w:p>
    <w:p/>
    <w:p>
      <w:r>
        <w:rPr>
          <w:b/>
        </w:rPr>
        <w:t>[Pages 1–3]</w:t>
      </w:r>
    </w:p>
    <w:p>
      <w:r>
        <w:t xml:space="preserve">FRENCH REPUBLIC  </w:t>
        <w:br/>
        <w:t xml:space="preserve">Decision No. 13-DCC-08 of January 16, 2013  </w:t>
        <w:br/>
        <w:t xml:space="preserve">regarding the exclusive control of Alpha Direct Services by  </w:t>
        <w:br/>
        <w:t xml:space="preserve">Rakuten Europe  </w:t>
        <w:br/>
        <w:t xml:space="preserve">The Competition Authority,  </w:t>
        <w:br/>
        <w:t xml:space="preserve">Having regard to the notification file submitted in full to the merger service on  </w:t>
        <w:br/>
        <w:t xml:space="preserve">December 10, 2012, concerning the exclusive control of Alpha Direct Services by Rakuten  </w:t>
        <w:br/>
        <w:t xml:space="preserve">Europe, formalized by a share purchase agreement ("Share Purchase Agreement") signed on  </w:t>
        <w:br/>
        <w:t xml:space="preserve">November 6, 2012;  </w:t>
        <w:br/>
        <w:t xml:space="preserve">Having regard to Book IV of the Commercial Code relating to the freedom of prices and  </w:t>
        <w:br/>
        <w:t xml:space="preserve">competition, and in particular its Articles L. 430-1 to L. 430-7;  </w:t>
        <w:br/>
        <w:t xml:space="preserve">Having regard to the supplementary elements provided by the parties during the investigation;  </w:t>
        <w:br/>
        <w:t xml:space="preserve">Adopts the following decision:  </w:t>
        <w:br/>
        <w:t xml:space="preserve">I. The concerned companies and the operation  </w:t>
        <w:br/>
        <w:t xml:space="preserve">1. Rakuten Europe is a subsidiary of the Rakuten group. In France, Rakuten is active  </w:t>
        <w:br/>
        <w:t xml:space="preserve">only in the e-commerce sector through the company PriceMinister acquired in  </w:t>
        <w:br/>
        <w:t xml:space="preserve">June 2010, which operates an electronic marketplace via the site  </w:t>
        <w:br/>
        <w:t xml:space="preserve">PriceMinister.com as well as a price comparison activity via the sites  </w:t>
        <w:br/>
        <w:t xml:space="preserve">VoyagerMoinsCher.com, BilletMoinsCher.com, and www.Travelizer.co.uk. A company listed on the  </w:t>
        <w:br/>
        <w:t xml:space="preserve">Jasdaq market in Osaka, Rakuten is exclusively controlled by Mr. Hiroshi Mikitani,  </w:t>
        <w:br/>
        <w:t xml:space="preserve">who directly and indirectly holds, taking into account the shareholding of his wife  </w:t>
        <w:br/>
        <w:t xml:space="preserve">Mrs. Haruko Mikitani, 44.71% of the capital.  </w:t>
        <w:br/>
        <w:t xml:space="preserve">2. Alpha Direct Services (hereinafter "ADS") is the holding company of ADS Picardie and  </w:t>
        <w:br/>
        <w:t xml:space="preserve">ADS Normandie, specialized in upstream logistics services for e-commerce and  </w:t>
        <w:br/>
        <w:t xml:space="preserve">catalog sales actors. ADS is currently held by Direct Technology Solutions (hereinafter  </w:t>
        <w:br/>
        <w:t xml:space="preserve">" DTS") (58.8%), a holding company owned by Mr. Adrian Diaconu, and by the  </w:t>
        <w:br/>
        <w:t>Consolidation and Development Fund for Enterprises (hereinafter "FCDE") (41.2%).</w:t>
      </w:r>
    </w:p>
    <w:p>
      <w:r>
        <w:t xml:space="preserve">3. Under the share purchase agreement signed on November 6, 2012, Mr. Diaconu  </w:t>
        <w:br/>
        <w:t xml:space="preserve">will transfer all the shares he holds in the company DTS to the holding company  </w:t>
        <w:br/>
        <w:t xml:space="preserve">International Technology Solutions SARL (hereinafter "ITS"), which he also owns. Upon  </w:t>
        <w:br/>
        <w:t xml:space="preserve">the effective completion of the transaction, ITS and FCDE will then, in a second phase,  </w:t>
        <w:br/>
        <w:t xml:space="preserve">transfer all their shares to Rakuten Europe.  </w:t>
        <w:br/>
        <w:t xml:space="preserve">4. As it results in the acquisition of exclusive control of ADS by Rakuten, the notified  </w:t>
        <w:br/>
        <w:t xml:space="preserve">transaction is a concentration within the meaning of Article L. 430-1 of the Commercial Code.  </w:t>
        <w:br/>
        <w:t xml:space="preserve">5. The companies concerned together achieve a total worldwide turnover of more than  </w:t>
        <w:br/>
        <w:t xml:space="preserve">150 million euros (Rakuten: 3.7 billion euros for the fiscal year 2011; ADS: […] euros for the  </w:t>
        <w:br/>
        <w:t xml:space="preserve">same fiscal year). At least two of these companies achieve in France a turnover exceeding  </w:t>
        <w:br/>
        <w:t xml:space="preserve">50 million euros (Rakuten: […] euros for the fiscal year ending in 2011; ADS: […] euros for  </w:t>
        <w:br/>
        <w:t xml:space="preserve">the same fiscal year). Given these turnover figures, the operation does not have a  </w:t>
        <w:br/>
        <w:t xml:space="preserve">community dimension. However, the control thresholds mentioned in I of Article L. 430-2 of  </w:t>
        <w:br/>
        <w:t xml:space="preserve">the Commercial Code are exceeded. This operation is therefore subject to the provisions of  </w:t>
        <w:br/>
        <w:t xml:space="preserve">Articles L. 430-3 and following of the Commercial Code relating to economic concentration.  </w:t>
        <w:br/>
        <w:t xml:space="preserve">II. Delimitation of relevant markets  </w:t>
        <w:br/>
        <w:t xml:space="preserve">6. PriceMinister primarily engages in electronic marketplace activity via the site  </w:t>
        <w:br/>
        <w:t xml:space="preserve">PriceMinister.com, which allows individuals and professionals to sell new and used  </w:t>
        <w:br/>
        <w:t xml:space="preserve">products (books, CDs, DVDs, video games, phones, computer products, image and sound,  </w:t>
        <w:br/>
        <w:t xml:space="preserve">home and garden, toys, ..). ADS specializes in upstream logistics services for e-commerce  </w:t>
        <w:br/>
        <w:t xml:space="preserve">and distance selling actors. Electronic marketplaces may call upon upstream logistics  </w:t>
        <w:br/>
        <w:t xml:space="preserve">services to offer their professional clients services such as supply, storage, packaging, or  </w:t>
        <w:br/>
        <w:t xml:space="preserve">order preparation, and the relevant markets will therefore be examined for potential  </w:t>
        <w:br/>
        <w:t xml:space="preserve">vertical effects.  </w:t>
        <w:br/>
        <w:t xml:space="preserve">A. THE MARKET OF MARKETPLACE ACTIVITY  </w:t>
        <w:br/>
        <w:t xml:space="preserve">1. THE RELEVANT SERVICE MARKET  </w:t>
        <w:br/>
        <w:t xml:space="preserve">7. As indicated by the Authority in its opinion No. 12-A-201, marketplaces act as  </w:t>
        <w:br/>
        <w:t xml:space="preserve">intermediaries between sellers and buyers of goods or services, offering sellers, whether  </w:t>
        <w:br/>
        <w:t xml:space="preserve">professionals or individuals, the opportunity to present all or part of their catalog, as a  </w:t>
        <w:br/>
        <w:t xml:space="preserve">shopping mall would in the physical world. They often also offer merchants, alongside  </w:t>
        <w:br/>
        <w:t xml:space="preserve">traditional services such as technical interface or order payment interface, information,  </w:t>
        <w:br/>
        <w:t xml:space="preserve">marketing, financial assistance, or supply chain management services.  </w:t>
        <w:br/>
        <w:t xml:space="preserve">8. Certain marketplaces such as Fnac.com, Amazon, RueDuCommerce, Pixmania, or  </w:t>
        <w:br/>
        <w:t xml:space="preserve">CDiscount are hosted by merchant sites that offer, on one hand, products as sellers, and  </w:t>
        <w:br/>
        <w:t xml:space="preserve">on the other hand, products as intermediaries. They allow their operators to "monetize"  </w:t>
        <w:br/>
        <w:t xml:space="preserve">their audience by offering less visible merchants on the Internet the opportunity to benefit  </w:t>
        <w:br/>
        <w:t xml:space="preserve">from the notoriety of larger sites and, on the other hand, to increase the range of products  </w:t>
        <w:br/>
        <w:t xml:space="preserve">offered to customers.  </w:t>
        <w:br/>
        <w:t xml:space="preserve">9. Conversely, marketplaces like PriceMinister or eBay only perform an intermediary  </w:t>
        <w:br/>
        <w:t xml:space="preserve">function. They are therefore only remunerated by commission and receive a fee for each  </w:t>
        <w:br/>
        <w:t xml:space="preserve">sale made, this fee varying according to the type of good, its value, and the quality of the  </w:t>
        <w:br/>
        <w:t xml:space="preserve">seller. Thus, for professional sellers, the commission is specific to each category of products  </w:t>
        <w:br/>
        <w:t xml:space="preserve">and also varies according to the type of monthly subscription that professional sellers pay for  </w:t>
        <w:br/>
        <w:t xml:space="preserve">their listings on the site. For individual sellers, this commission includes a variable part  </w:t>
        <w:br/>
        <w:t xml:space="preserve">calculated in brackets and a fixed part, without distinction of the type of good sold.  </w:t>
        <w:br/>
        <w:t xml:space="preserve">10. It is therefore possible to consider the existence of a market limited to the services  </w:t>
        <w:br/>
        <w:t xml:space="preserve">provided by marketplaces, distinct from the distance selling markets identified by the  </w:t>
        <w:br/>
        <w:t xml:space="preserve">competition authorities.  </w:t>
        <w:br/>
        <w:t xml:space="preserve">11. Products sold by consumers (the CtoC segment) are considered from a fiscal and  </w:t>
        <w:br/>
        <w:t xml:space="preserve">accounting perspective as second-hand sales. Similarly, while professional sellers primarily  </w:t>
        <w:br/>
        <w:t xml:space="preserve">sell new products, they can also sell used products.  </w:t>
        <w:br/>
        <w:t xml:space="preserve">12. The notifying party considers that it is not relevant to segment BtoC sales between new  </w:t>
        <w:br/>
        <w:t xml:space="preserve">and used products, as used products sold by professional sellers are, unless otherwise  </w:t>
        <w:br/>
        <w:t xml:space="preserve">noted, most often refurbished products, having been used little or not at all but no longer  </w:t>
        <w:br/>
        <w:t xml:space="preserve">considered new.  </w:t>
        <w:br/>
        <w:t xml:space="preserve">13. The notifying party also considers that it is not relevant to distinguish CtoC activity from  </w:t>
        <w:br/>
        <w:t xml:space="preserve">BtoC activity as there would not be a CtoC market stricto sensu but a market of  </w:t>
        <w:br/>
        <w:t xml:space="preserve">intermediation that consists of bringing together individual sellers and consumers and thus  </w:t>
        <w:br/>
        <w:t xml:space="preserve">is an integral part of marketplace activity. Furthermore, on the supply side, the absence of  </w:t>
        <w:br/>
        <w:t xml:space="preserve">barriers to entry would allow marketplaces to offer either BtoC or CtoC offers indiscriminately.  </w:t>
        <w:br/>
        <w:t xml:space="preserve">Finally, on the demand side, the consumer would primarily seek a product and only later  </w:t>
        <w:br/>
        <w:t xml:space="preserve">would they be offered the option to acquire a new or used product.  </w:t>
        <w:br/>
        <w:t xml:space="preserve">14. Moreover, a segmentation by type of products, specific to marketplaces, modeled on  </w:t>
        <w:br/>
        <w:t xml:space="preserve">that practiced by competition authorities in distribution markets, seems less relevant at this  </w:t>
        <w:br/>
        <w:t xml:space="preserve">stage of the development of this type of service.  </w:t>
        <w:br/>
        <w:t xml:space="preserve">15. In this case, the exact delimitation of the relevant markets will, however, be left open,  </w:t>
        <w:br/>
        <w:t xml:space="preserve">as the conclusions of the competitive analysis are not affected regardless of the delimitations  </w:t>
        <w:br/>
        <w:t>chosen.</w:t>
      </w:r>
    </w:p>
    <w:p>
      <w:r>
        <w:rPr>
          <w:b/>
        </w:rPr>
        <w:t>[Pages 4–6]</w:t>
      </w:r>
    </w:p>
    <w:p>
      <w:r>
        <w:t>2. GEOGRAPHIC DELIMITATION</w:t>
        <w:br/>
        <w:t>16. Competition authorities have not yet been required to rule on the geographic delimitation of marketplace activity. Furthermore, online activities are generally considered by competition authorities to be, most often, of a national dimension primarily due to language barriers.</w:t>
        <w:br/>
        <w:t>17. In this case, PriceMinister and ADS are primarily active in France. The effects of the operation will therefore be examined at the national level while leaving the question open, as the conclusions of the competitive analysis are not affected regardless of the delimitations chosen.</w:t>
      </w:r>
    </w:p>
    <w:p>
      <w:r>
        <w:t>B. THE UPSTREAM LOGISTICS MARKET</w:t>
        <w:br/>
        <w:t>1. THE RELEVANT SERVICE MARKET</w:t>
        <w:br/>
        <w:t>18. The notifying party indicates that, based on the opinion of the Authority on electronic commerce, the logistics activity is divided into two different stages of the distribution process. The first stage consists of upstream logistics, which encompasses all activities between the customer's order and the final delivery to the customer (sourcing, quality control, storage, packaging, order preparation, labeling, etc.). Only professionals engage in upstream logistics activities. The second stage consists of downstream logistics, that is to say, delivery to the final customer, which is used by both professionals and individuals.</w:t>
        <w:br/>
        <w:t>19. A segmentation could potentially be considered between generalist upstream logistics operators and upstream logistics operators specialized in electronic commerce. However, while many generalist operators have become very active in the electronic commerce sector, it should be noted that their activity in this area is still relatively modest compared to that of specialized operators.</w:t>
        <w:br/>
        <w:t>20. In this case, ADS is active only in the upstream logistics services market, and the notifying party has indicated its market shares in a potential logistics services market considering both generalist logistics service providers and in a potential market for logistics services specialized in electronic commerce.</w:t>
        <w:br/>
        <w:t>21. The question of the exact delimitation of logistics markets will, however, be left open, as the conclusions of the competitive analysis remain unchanged regardless of the delimitation chosen.</w:t>
      </w:r>
    </w:p>
    <w:p>
      <w:r>
        <w:t>2. GEOGRAPHIC DELIMITATION</w:t>
        <w:br/>
        <w:t>22. According to the practice of national and community competition authorities, the logistics services market is of national dimension. There is no reason to challenge this delimitation in the present decision.</w:t>
      </w:r>
    </w:p>
    <w:p>
      <w:r>
        <w:t>III. Competitive Analysis</w:t>
        <w:br/>
        <w:t>23. The costs associated with logistics represent the highest expense for e-commerce players after personnel expenses, and the offering of logistics services by marketplaces can constitute an important element of their attractiveness. The acquisition by PriceMinister of a structure specialized in upstream logistics services allowing it to partially internalize these costs would, however, only be likely to harm competition if this operation were to lock in access for competing marketplaces to such services (input locking) or to lock in access for upstream logistics service operators to distance selling actors (customer locking). Competition authorities rule out any risk of such effects a priori as the companies concerned by the operation represent less than 30% of the relevant markets.</w:t>
        <w:br/>
        <w:t>24. Regarding access to upstream logistics services, ADS's market share in a general upstream logistics market is estimated at [0-5]%, facing numerous larger operators such as the Géodis group ([10-20]%), Norbert Dentressangle ([10-20]%), DHL Supply Chain ([5-10]%), ID Logistics ([5-10]%), FM Logistics ([5-10%]), as well as many smaller operators.</w:t>
        <w:br/>
        <w:t>25. In a potential upstream logistics market aimed at the electronic commerce sector, the notifying party estimated ADS's market share at [10-20]%, based on a total market size estimated at 400 million euros in 2010 in France. There are several other companies capable of providing the same type of services:</w:t>
        <w:br/>
        <w:t>Company Market Share</w:t>
        <w:br/>
        <w:t>CEPL [20-30]%</w:t>
        <w:br/>
        <w:t>Deret Logistique [20-30]%</w:t>
        <w:br/>
        <w:t>Katoen Natie [20-30]%</w:t>
        <w:br/>
        <w:t>MGF Logistique (Groupe G7) [10-20]%</w:t>
        <w:br/>
        <w:t>Arvato (Groupe Bertelsmann) [10-20]%</w:t>
        <w:br/>
        <w:t>Neolog (Groupe La Poste) [10-20]%</w:t>
        <w:br/>
        <w:t>ADS [10-20]%</w:t>
        <w:br/>
        <w:t>UPS SCS (Groupe UPS) [10-20]%</w:t>
      </w:r>
    </w:p>
    <w:p>
      <w:r>
        <w:t>26. Regarding the risk of locking access to customers, it should be noted that ADS and its competitors offer their services to various distance selling actors. ADS thus has clients who sell both through catalogs and online, as well as clients who sell only online. ADS's historical clients are [confidential]. However, there are more than 100,400 active merchant sites in France in 2011 as recorded by FEVAD. PriceMinister is one of the most frequented marketplaces, but there are many competitors as indicated in the table below:</w:t>
        <w:br/>
        <w:t>Site Unique Visitors per Month Unique Visitors per Day</w:t>
        <w:br/>
        <w:t>Amazon 12,592,000 1,299,000</w:t>
        <w:br/>
        <w:t>PriceMinister 9,025,000 871,000</w:t>
        <w:br/>
        <w:t>eBay 8,970,000 1,349,000</w:t>
        <w:br/>
        <w:t>CDiscount 8,941,000 798,000</w:t>
        <w:br/>
        <w:t>Fnac 8,207,000 696,000</w:t>
        <w:br/>
        <w:t>Groupon 7,966,000 930,000</w:t>
        <w:br/>
        <w:t>La Redoute 7,422,000 595,000</w:t>
        <w:br/>
        <w:t>Voyages-Sncf 7,086,000 531,000</w:t>
        <w:br/>
        <w:t>Carrefour 6,260,000 455,000</w:t>
        <w:br/>
        <w:t>Vente-privée 6,224,000 1,301,000</w:t>
        <w:br/>
        <w:t>Rue du Commerce 5,400,000 380,000</w:t>
      </w:r>
    </w:p>
    <w:p>
      <w:r>
        <w:t>27. Furthermore, professional sellers on PriceMinister do not have exclusive contracts, and most of them also sell their products on competing marketplaces. In this regard, PriceMinister estimated that […]% of its professional seller clients use multiple marketplaces to increase their visibility and sales opportunities.</w:t>
        <w:br/>
        <w:t>28. The notifying party also indicated, by major category of non-food products, the importance of sales made through its site in the overall online sales. These figures confirm that PriceMinister remains a modest player in e-commerce, its highest market share (electronic image-sound products) being limited to [0-5]%.</w:t>
        <w:br/>
        <w:t>29. Therefore, the operation is not likely to harm competition in the markets concerned through vertical effects.</w:t>
      </w:r>
    </w:p>
    <w:p>
      <w:r>
        <w:rPr>
          <w:b/>
        </w:rPr>
        <w:t>[Pages 7–7]</w:t>
      </w:r>
    </w:p>
    <w:p>
      <w:r>
        <w:t xml:space="preserve">DECIDES  </w:t>
        <w:br/>
        <w:t xml:space="preserve">Single Article: The transaction notified under number 12-196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