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https://www.autoritedelaconcurrence.fr/fr/decision-de-controle-des-concentrations/relative-la-prise-de-controle-exclusif-datlas-men-par-la</w:t>
      </w:r>
    </w:p>
    <w:p>
      <w:r>
        <w:t>Pages translated : 5</w:t>
      </w:r>
    </w:p>
    <w:p/>
    <w:p>
      <w:r>
        <w:rPr>
          <w:b/>
        </w:rPr>
        <w:t>[Pages 1–3]</w:t>
      </w:r>
    </w:p>
    <w:p>
      <w:r>
        <w:t xml:space="preserve">FRENCH REPUBLIC  </w:t>
        <w:br/>
        <w:t xml:space="preserve">Decision No. 16-DCC-121 of July 28, 2016  </w:t>
        <w:br/>
        <w:t xml:space="preserve">regarding the exclusive control of Atlas for Men by the company  </w:t>
        <w:br/>
        <w:t>Activa Capital</w:t>
      </w:r>
    </w:p>
    <w:p>
      <w:r>
        <w:t xml:space="preserve">The Competition Authority,  </w:t>
        <w:br/>
        <w:t xml:space="preserve">Having regard to the notification file submitted in full to the merger service on June 27, 2016, regarding the exclusive control of the company Atlasformen by the company Activa Capital, formalized by a firm offer and a draft transfer protocol dated June 15,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Activa Capital SAS (hereinafter, "Activa Capital") is a portfolio management company approved by the Financial Markets Authority. Activa Capital holds stakes, via the venture capital funds Activa Capital Fund and Activa Capital Fund II, in several companies, including Bruno Saint Hilaire, active in the men's and women's ready-to-wear sector, and Sport 20001, active in the sale of sporting goods. The share capital of Activa Capital is held by private investors none of whom exercise control over the company, within the meaning of competition law.  </w:t>
        <w:br/>
        <w:t xml:space="preserve">2. Atlasformen SAS, a French law company, and its Russian subsidiary Atlasformen OOO (hereinafter, together, "Atlas for Men"), specialize in the design and mail order (internet, telephone) sale of clothing, shoes, and outdoor accessories primarily intended for a male clientele via catalog.  </w:t>
        <w:br/>
        <w:t>1 Sport 2000 France SAS (hereinafter, "Sport 2000") is the parent company of a franchise network composed of independent stores operated under one of the Sport 2000 brands, namely "Sport 2000," "Mondovélo," "S2," and "Espace Montagne."</w:t>
      </w:r>
    </w:p>
    <w:p>
      <w:r>
        <w:t xml:space="preserve">3. The operation, formalized by a firm offer and a draft transfer protocol dated June 15, 2016, consists of the acquisition by Activa Capital of the entire share capital of Atlas for Men.  </w:t>
        <w:br/>
        <w:t xml:space="preserve">4. As it results in the exclusive control of Atlas for Men by Activa Capital, the notified operation constitutes a concentration within the meaning of Article L.430-1 of the Commercial Code.  </w:t>
        <w:br/>
        <w:t>5. The companies concerned together achieve a total worldwide turnover excluding taxes of more than 150 million euros (Activa Capital: [...] million euros for the fiscal year ending December 31, 2015; Atlas for Men: [...] million euros for the same fiscal year). Each of these companies has achieved in France a turnover excluding taxes exceeding 50 million euros (Activa Capital: [...] million euros for the fiscal year ending December 31, 2015; Atlas for Men: [...]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the relevant markets  </w:t>
        <w:br/>
        <w:t xml:space="preserve">6. The parties are simultaneously active in the retail distribution sector of clothing for men and women2.  </w:t>
        <w:br/>
        <w:t xml:space="preserve">A. THE PRODUCT MARKETS  </w:t>
        <w:br/>
        <w:t xml:space="preserve">7. Regarding the retail sale of clothing, decision-making practice3 has adopted market segmentations based on (i) gender4 (men, women, children), (ii) product range level5 (low, medium, high-end), and (iii) distribution channel6 (specialized store, specialized large surfaces ("GSS"), food hypermarkets ("GSA")).  </w:t>
        <w:br/>
        <w:t xml:space="preserve">8. Furthermore, decision-making practice has considered a distinction between in-store clothing sales and distance clothing sales7.  </w:t>
        <w:br/>
        <w:t xml:space="preserve">2 Regarding the upstream markets for the supply of clothing for men and women, defined globally by decision-making practice, the parties represent a negligible share of purchases.  </w:t>
        <w:br/>
        <w:t xml:space="preserve">3 See in particular the Authority's decisions No. 10-DCC-139 of October 27, 2010, regarding the joint control of Maje, Sandro, Claudie Pierlot, and HF Biousse by L Capital and Florac, and No. 13-DCC-75 of July 10, 2013, regarding the control of Réservoir Team SAS by Towerbrook Capital Partners LP.  </w:t>
        <w:br/>
        <w:t xml:space="preserve">4 See in particular the letter from the Minister of Economy, Finance and Industry C2005-129 of January 31, 2006, to the advisors of Glam regarding a concentration in the ready-to-wear sector.  </w:t>
        <w:br/>
        <w:t xml:space="preserve">5 See the letter from the Minister of Economy, Finance and Industry of July 24, 2003, to the advisors of Vetir SA regarding a concentration in the clothing distribution sector.  </w:t>
        <w:br/>
        <w:t xml:space="preserve">6 See the aforementioned letter from the Minister of Economy, Finance and Industry of July 24, 2003, and the Authority's decisions No. 10-DCC-139 and 13-DCC-75 mentioned above.  </w:t>
        <w:br/>
        <w:t>7 See the Authority's decisions No. 10-DCC-77 of July 9, 2010, regarding the exclusive control of Afibel SAS by Damartex SA, and No. 13-DCC-75 mentioned above.</w:t>
      </w:r>
    </w:p>
    <w:p>
      <w:r>
        <w:t xml:space="preserve">9. The question of the exact definition of the markets can, however, be left open insofar as, regardless of the segmentation chosen, the conclusions of the competitive analysis remain unchanged.  </w:t>
        <w:br/>
        <w:t xml:space="preserve">B. THE GEOGRAPHIC MARKETS  </w:t>
        <w:br/>
        <w:t xml:space="preserve">10. Regarding the distance selling of clothing, decision-making practice has adopted a national delimitation, given the linguistic differences, the heterogeneity of consumer habits, as well as the costs and delivery times8.  </w:t>
        <w:br/>
        <w:t>11. In the present case, Atlas for Men sells clothing exclusively at a distance, so its overlap in activity with Activa Capital9 concerns only the markets for the distance selling of men's and women's clothing. The competitive analysis will therefore be conducted on national dimension markets.</w:t>
      </w:r>
    </w:p>
    <w:p>
      <w:r>
        <w:t xml:space="preserve">III. Competitive analysis  </w:t>
        <w:br/>
        <w:t xml:space="preserve">12. Beforehand, it is necessary to analyze the commercial autonomy of Sport 2000 franchisees in relation to their parent company, controlled by Activa Capital, in order to determine whether the latter can be considered active in this market through their intermediary. Indeed, decision-making practice has held that the market power of a distribution group should be assessed taking into account both owned stores and those operated under franchise, regardless of their legal status, as long as their commercial policy is not sufficiently autonomous from the franchisor10.  </w:t>
        <w:br/>
        <w:t xml:space="preserve">13. In this case, each store that is part of the Sport 2000 network enters into a partnership contract with Sport 2000. Prior to signing this contract, members must become part of a cooperative whose main objectives are (i) to negotiate preferential purchasing conditions with suppliers, and (ii) "to strengthen brand concepts." An internal regulation applies to all members of the cooperative, which provides that members are independent entrepreneurs.  </w:t>
        <w:br/>
        <w:t xml:space="preserve">14. However, several elements of the standard contract and the internal regulation limit the autonomy of the commercial policy of the members in relation to the parent company, namely, in particular, the following obligations: [confidential].  </w:t>
        <w:br/>
        <w:t xml:space="preserve">15. Given the above elements, it should be concluded that the members do not have sufficient commercial autonomy with respect to Sport 2000 and the cooperative. The members will therefore be taken into account in the analysis of the market power of Sport 2000.  </w:t>
        <w:br/>
        <w:t xml:space="preserve">8 See in particular the aforementioned decision No. 10-DCC-77.  </w:t>
        <w:br/>
        <w:t xml:space="preserve">9 In particular with Bruno Saint Hilaire, a company owned by Activa Capital, which generates a marginal part of its turnover from the distance selling of men's and women's clothing.  </w:t>
        <w:br/>
        <w:t>10 See paragraphs 633, 634, and 635 of the Authority's Guidelines on the control of concentrations dated July 10, 2013, and decision No. 10-DCC-01 of January 12, 2010, regarding the exclusive control by Mr Bricolage of Passerelle, confirmed by the ruling of December 23, 2010, of the Council of State, No. 337533.</w:t>
      </w:r>
    </w:p>
    <w:p>
      <w:r>
        <w:rPr>
          <w:b/>
        </w:rPr>
        <w:t>[Pages 4–5]</w:t>
      </w:r>
    </w:p>
    <w:p>
      <w:r>
        <w:t>16. On the national clothing distribution market, the estimated market shares of Bruno Saint Hilaire, Sport 2000, and Atlas for Men are as follows11:</w:t>
        <w:br/>
        <w:t>Bruno</w:t>
        <w:br/>
        <w:t>Atlas for</w:t>
        <w:br/>
        <w:t>National clothing sales market Sport 2000 Saint Combined</w:t>
        <w:br/>
        <w:t>Men</w:t>
        <w:br/>
        <w:t>Hilaire</w:t>
        <w:br/>
        <w:t>Distance - [0-5]% [0-5]% [0-5]%</w:t>
        <w:br/>
        <w:t>Sales method12</w:t>
        <w:br/>
        <w:t>Total13 [0-5]% [0-5]% [0-5]% [0-5]%</w:t>
        <w:br/>
        <w:t>Segmentation</w:t>
        <w:br/>
        <w:t>criteria Male [0-5]% [0-5]% [0-5]% [0-5]%</w:t>
        <w:br/>
        <w:t>Gender14 Female [0-5]% [0-5]% [0-5]% [0-5]%</w:t>
        <w:br/>
        <w:t>Total [0-5]% [0-5]% [0-5]% [0-5]%</w:t>
        <w:br/>
        <w:t>17. Given the very limited market shares of the new entity, the operation is not likely to harm competition through horizontal effects on the retail clothing distribution markets in France.</w:t>
        <w:br/>
        <w:t>11 The activities of the parties overlap in the markets for distance selling of clothing and in the markets for the distribution of clothing for men, on the one hand, and for women, on the other hand.</w:t>
        <w:br/>
        <w:t>12 Source: Key figures 2016 from the Federation of e-commerce and distance selling.</w:t>
        <w:br/>
        <w:t>13 Source: Prospective Observatory of Commerce – Data 2013 – Branch retail trade of clothing.</w:t>
        <w:br/>
        <w:t>14 Source: INSEE – Specialized trade in clothing and footwear no. 1459 – July 2013.</w:t>
      </w:r>
    </w:p>
    <w:p>
      <w:r>
        <w:t>DECIDES</w:t>
        <w:br/>
        <w:t>Article one: The notified operation under number 16-120 is authorized.</w:t>
        <w:b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