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https://www.autoritedelaconcurrence.fr/fr/decision-de-controle-des-concentrations/relative-la-prise-de-controle-exclusif-de-12-points-de</w:t>
      </w:r>
    </w:p>
    <w:p>
      <w:r>
        <w:t>Pages translated : 11</w:t>
      </w:r>
    </w:p>
    <w:p/>
    <w:p>
      <w:r>
        <w:rPr>
          <w:b/>
        </w:rPr>
        <w:t>[Pages 1–3]</w:t>
      </w:r>
    </w:p>
    <w:p>
      <w:r>
        <w:t xml:space="preserve">FRENCH REPUBLIC  </w:t>
        <w:br/>
        <w:t xml:space="preserve">Decision No. 14-DCC-39 of March 24, 2014  </w:t>
        <w:br/>
        <w:t xml:space="preserve">regarding the exclusive control of 12 points of sale under the  </w:t>
        <w:br/>
        <w:t>Atlas and Fly brands by Conforama Développement</w:t>
      </w:r>
    </w:p>
    <w:p>
      <w:r>
        <w:t xml:space="preserve">The Competition Authority,  </w:t>
        <w:br/>
        <w:t xml:space="preserve">Having regard to the notification file sent to the concentrations service on January 21, 2014, and declared complete on February 21, 2014, concerning the acquisition of twelve points of sale under the Atlas and Fly brands by Conforama Développement, formalized by a framework agreement signed on December 20, 2013;  </w:t>
        <w:br/>
        <w:t xml:space="preserve">Having regard to the supplementary elements transmitted by the parties during the investigation;  </w:t>
        <w:br/>
        <w:t xml:space="preserve">Having regard to Book IV of the Commercial Code relating to price and competition freedom, and in particular its Articles L. 430-1 to L. 430-7;  </w:t>
        <w:br/>
        <w:t>Adopts the following decision:</w:t>
      </w:r>
    </w:p>
    <w:p>
      <w:r>
        <w:t xml:space="preserve">I. The concerned companies and the operation  </w:t>
        <w:br/>
        <w:t xml:space="preserve">1. Conforama Développement (hereinafter "Conforama") is a simplified joint-stock company, 100% owned by Conforama Investissement, which is itself exclusively owned by the South African group Steinhoff, which is notably active in Europe in the production and distribution of furniture. The Conforama group controls a set of subsidiaries active in the retail trade of furniture, decoration, and household appliances and operates 268 stores, of which 195 are in mainland France. The network also includes 13 franchised points of sale under the Conforama brand.  </w:t>
        <w:br/>
        <w:t xml:space="preserve">2. The twelve points of sale (hereinafter "the target") that are the subject of the operation are owned by the operating company Rapp, a 100% subsidiary of the company Mobilier Européen, which is itself 100% owned by the company Meubles Rapp (hereinafter with its subsidiaries "the Rapp group"), which is controlled by the Rapp family. The Rapp group is a family group active in the home equipment sector and operates 133 points of sale in France and abroad. The network also includes 112 franchisees. Of these 245 points of sale, 135 are operated under the Fly brand (82 owned and 53 franchised), 59 under the Atlas brand (36 owned and 23 franchised), and 51 under the Crozatier brand (15 owned and 36 franchised). The twelve points of sale involved in the operation are currently operated under the Atlas brand (ten points of sale1) and Fly (two points of sale2).  </w:t>
        <w:br/>
        <w:t xml:space="preserve">3. A framework agreement, signed on December 20, 2013, provides for the transfer of these twelve points of sale to Conforama Développement. The same framework agreement establishes cooperation between the Conforama group and the Mobilier Européen group through several provisions.  </w:t>
        <w:br/>
        <w:t xml:space="preserve">4. Firstly, Mobilier Européen will have the opportunity to use the referencing and negotiation services of the Steinhoff group's procurement company, Steinhoff International Sourcing Logistics (SISL), for its purchases of furniture and decorative items through a mandate lasting […] years (tacitly renewable for […] months). This is a non-exclusive agreement, with Mobilier Européen remaining free to source from other suppliers, and it does not provide for any minimum volume commitment. [Confidential]. It is also provided that Mobilier Européen may eventually share Conforama's logistics network for remuneration. Finally, Conforama may assist Mobilier Européen in the establishment and recruitment outside the Steinhoff group of a team of experts likely to strengthen the operational and marketing departments as well as in the establishment of a website.  </w:t>
        <w:br/>
        <w:t xml:space="preserve">5. Secondly, the agreement grants Conforama a right of first refusal on the transfer of the underlying business assets or real estate of the Fly points of sale as well as a preemption right on the transfer of the underlying business assets or real estate of the Atlas and Fly points of sale when an offer is made by certain competitors of Conforama [confidential]. Furthermore, Mobilier Européen has committed not to sell the points of sale to these same competitors [confidential].  </w:t>
        <w:br/>
        <w:t xml:space="preserve">6. Thirdly, the framework agreement provides for the transfer of 19 Fly points of sale in Switzerland. Moreover, it stipulates a sale option for the Rapp group and a purchase option for the Steinhoff group concerning the shares of a company to be created [confidential].  </w:t>
        <w:br/>
        <w:t xml:space="preserve">7. Regarding the preemption rights that the Steinhoff group will have in the event of proposed transfers of the Atlas and Fly points of sale to certain competitors [confidential] and the prohibition on selling to these same competitors the points of sale [confidential], these provisions cannot be analyzed as negotiation exclusivities benefiting the Steinhoff group insofar as Mobilier Européen can freely transfer these points of sale to all other competitors not covered by the framework agreement [confidential] but also to any other brand that would be active in a sector different from furniture or household appliances. Numerous national brands could therefore become buyers.  </w:t>
        <w:br/>
        <w:t xml:space="preserve">8. Regarding the provisions of the agreement relating to the supply of Mobilier Européen, the absence of exclusivity in favor of SISL and the lack of minimum supply volume commitment do not allow us to consider that they give the Steinhoff group the possibility of exercising a decisive influence over the Rapp group.  </w:t>
        <w:br/>
        <w:t xml:space="preserve">9. Finally, the right of first refusal granted to Conforama in the event of the transfer of the Fly points of sale and the purchase option held by the Steinhoff group on a company [confidential] only gives the Steinhoff group the possibility of acquiring these assets in the future. Their exercise, and thus the realization of what would then constitute a concentration operation within the meaning of Article L. 430-1 of the Commercial Code, is not certain.  </w:t>
        <w:br/>
        <w:t xml:space="preserve">1 The Atlas points of sale involved in the operation are located in La-Chapelle-des-Fougeretz (35), Exincourt (25), Gondreville (54), Gorron (53), Vendenheim (67), Saint-Egrève (38), Salaise-sur-Sanne (38), Orange (84), Saint-Bonnet-de-Mure (69), and Villeneuve Loubet (06).  </w:t>
        <w:br/>
        <w:t>2 The Fly points of sale involved in the operation are located in Saint-Egrève (38) and Villeneuve-Loubet (06).</w:t>
      </w:r>
    </w:p>
    <w:p>
      <w:r>
        <w:t xml:space="preserve">10. In total, the framework agreement signed on December 20 cannot be considered as giving the Steinhoff group a decisive influence over other assets of the Rapp group than the twelve points of sale whose transfer has been notified to the Authority.  </w:t>
        <w:br/>
        <w:t xml:space="preserve">11. Furthermore, these provisions cannot be considered as ancillary, that is to say directly linked and necessary for the realization of the operation, because in their absence, the concentration could still be carried out without jeopardizing the viability of the points of sale concerned. In its communication regarding restrictions directly linked and necessary to the realization of concentration operations published on March 5, 2005, the Commission explains that: "for restrictions to be considered as directly linked to the realization of the concentration, they must be closely related to the concentration itself. It is not sufficient that an agreement has been concluded in the same context or at the same time as the concentration operation. Restrictions directly linked to the concentration relate, from an economic point of view, to the main transaction and aim to allow a smooth transition between the old structure of the company and the new one after the completion of the concentration operation." This decision therefore does not rule on the object or effects of the various cooperation agreements provided for in the framework agreement.  </w:t>
        <w:br/>
        <w:t xml:space="preserve">12. As it results in the exclusive control of twelve Atlas and Fly points of sale by Conforama Développement, a subsidiary of the Steinhoff group, the notified operation constitutes a concentration operation within the meaning of Article L. 430-1 of the Commercial Code.  </w:t>
        <w:br/>
        <w:t>13. The concerned companies together achieve a total worldwide turnover of more than 75 million euros (Steinhoff group: […] euros for the fiscal year ending June 30, 2013; target: […] euros for the fiscal year ending March 31, 2013). Each achieves in France in the retail sector a turnover exceeding 15 million euros (Steinhoff group: […] euros for the fiscal year ending June 30, 2013; target: […] euros for the fiscal year ending March 31, 2013). Given these turnover figures,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14. In the retail sector, competition authorities generally recognize two categories of markets: (i) downstream markets, of local dimension, which bring together retail companies and final consumers, and (ii) upstream markets for the supply of retail companies.  </w:t>
        <w:br/>
        <w:t>15. As recalled by the Competition Council in the Cafom/Fincar opinion, "the type of products sold is one of the most important criteria for delineating markets in the retail sector." Furthermore, "the format and size of the store are also important criteria for market delineation in that, in particular, they determine the ability of the point of sale in question to market a greater or lesser number of products."</w:t>
      </w:r>
    </w:p>
    <w:p>
      <w:r>
        <w:rPr>
          <w:b/>
        </w:rPr>
        <w:t>[Pages 4–6]</w:t>
      </w:r>
    </w:p>
    <w:p>
      <w:r>
        <w:t>limit the markets in the field of retail trade." Furthermore, "the format and size of the store are also important criteria for market delineation in that, in particular, they determine the ability of the point of sale in question to market a greater or lesser number of products or to offer certain ancillary services. Specialized large retail stores (GSS) thus differ from large food retail stores (GSA) and local commerce."</w:t>
      </w:r>
    </w:p>
    <w:p>
      <w:r>
        <w:t>16. In this case, the parties are simultaneously active in the retail sector of furniture products, decoration and bazaar products, and household appliances. Furthermore, the Steinhoff group is present in the upstream market for the supply of furniture. The competitive analysis must therefore focus on these activities, distinguishing, if necessary, according to the types of stores involved.</w:t>
      </w:r>
    </w:p>
    <w:p>
      <w:r>
        <w:t>1. UPSTREAM MARKETS FOR THE SUPPLY OF FURNITURE PRODUCTS, BAZAAR AND DECORATION PRODUCTS, AND HOUSEHOLD APPLIANCES</w:t>
      </w:r>
    </w:p>
    <w:p>
      <w:r>
        <w:t>17. Regarding the upstream supply markets, the competition authorities noted that "producers manufacture specific products or groups of products and are not technically able to easily convert to the manufacture of other products without significant costs." Furthermore, the Competition Council indicated "that at the level of supplies, one can consider that there are as many markets as there are families of products subject to negotiation, each distributor putting various suppliers in competition in each of the markets."</w:t>
      </w:r>
    </w:p>
    <w:p>
      <w:r>
        <w:t>18. Thus, a distribution by product group can be considered relevant.</w:t>
      </w:r>
    </w:p>
    <w:p>
      <w:r>
        <w:t>19. Specifically regarding the supply of household appliances, furniture, and bazaar and decoration products, the decision-making practice, taking into account the organization of the "purchasing" divisions of distributors, has identified the following markets:</w:t>
        <w:br/>
        <w:t>- furniture;</w:t>
        <w:br/>
        <w:t>- bazaar-decoration;</w:t>
        <w:br/>
        <w:t>- small household appliances;</w:t>
        <w:br/>
        <w:t>- large household appliances;</w:t>
        <w:br/>
        <w:t>- cameras/film;</w:t>
        <w:br/>
        <w:t>- hi-fi/sound equipment;</w:t>
        <w:br/>
        <w:t>- TV/video equipment;</w:t>
        <w:br/>
        <w:t>- computers/peripherals.</w:t>
      </w:r>
    </w:p>
    <w:p>
      <w:r>
        <w:t>20. There is no need to challenge this delineation in the context of the present operation.</w:t>
      </w:r>
    </w:p>
    <w:p>
      <w:r>
        <w:t>21. In this case, the parties to the operation are both active, as buyers, in the markets for the supply of furniture, bazaar and decoration products, and small and large household appliances. Conforama, through the Steinhoff group, is also active in the production of furniture.</w:t>
      </w:r>
    </w:p>
    <w:p>
      <w:r>
        <w:t>2. DOWNSTREAM MARKET FOR THE RETAIL DISTRIBUTION OF FURNITURE PRODUCTS</w:t>
      </w:r>
    </w:p>
    <w:p>
      <w:r>
        <w:t>22. Furniture and decoration products encompass all products intended to furnish the rooms of a dwelling (chairs, sofas, tables, kitchen units, bathroom units, bedding, buffets, storage, desks, etc.).</w:t>
      </w:r>
    </w:p>
    <w:p>
      <w:r>
        <w:t>23. Regarding the retail sale of furniture products, the competition authorities have considered a market for the distribution of furniture products segmented by distribution channel. The stores involved in the present operation belong to the category of GSS and operate in "the distribution of furniture through points of sale offering the final consumer a wide assortment of products, excluding decorative items, throughout the year."</w:t>
      </w:r>
    </w:p>
    <w:p>
      <w:r>
        <w:t>24. The stores under the Conforama, Atlas, and Fly brands offer a complete and permanent assortment of furniture for the entire house and can, in this respect, be classified as generalists. In this regard, the notifying party believes that kitchen furniture distributors, bedding products, and living room furniture should be regarded as significant competitors of generalist furniture distributors. For example, Conforama and the Fly/Atlas brands achieve [20-30]% and [10-20]% of their turnover in the bedding segment; [10-20]% and [10-20]% for kitchen furniture. However, while specialist distributors represent a real alternative for a portion of the clientele with specific and limited furnishing needs, they do not appear to be the closest competitors to generalists with whom it is possible to satisfy all furnishing needs.</w:t>
      </w:r>
    </w:p>
    <w:p>
      <w:r>
        <w:t>25. Finally, the French competition authorities have considered a segmentation in terms of product range given the differences in price and service offered. In this case, the target is active in the marketing of "low-end" and "mid-range" furniture, as opposed to "high-end" stores, notably represented by the brands Roche Bobois, Ligne Roset, or Cinna. According to the notifying party, the segmentation of the market based on the level of range does not appear to be entirely relevant. Players in the low-mid range are increasingly developing stylistically similar products to a number of high-end products.</w:t>
      </w:r>
    </w:p>
    <w:p>
      <w:r>
        <w:t>26. In this case, the exact definition of the downstream markets can be left open insofar as the conclusions of the competitive analysis will remain unchanged, regardless of the assumptions made.</w:t>
      </w:r>
    </w:p>
    <w:p>
      <w:r>
        <w:t>3. DOWNSTREAM MARKET FOR THE RETAIL DISTRIBUTION OF BAZAAR AND DECORATION PRODUCTS</w:t>
      </w:r>
    </w:p>
    <w:p>
      <w:r>
        <w:t>27. The competition authorities distinguished the distribution of bazaar and decoration products, defined as various items associated with the distribution of furniture, from that of furniture, due to differences in the assortment of suppliers, in purchasing behaviors as well as in the functions of the products concerned, bazaar-decoration products being complementary to furniture. For these products, the competitive analysis will focus on sales in GSS.</w:t>
      </w:r>
    </w:p>
    <w:p>
      <w:r>
        <w:t>28. In any case, the exact delineation of the downstream market for bazaar and decoration products can be left open, insofar as the conclusions of the competitive analysis will remain unchanged, regardless of the assumptions made.</w:t>
      </w:r>
    </w:p>
    <w:p>
      <w:r>
        <w:t>4. DOWNSTREAM MARKETS FOR THE RETAIL DISTRIBUTION OF HOUSEHOLD APPLIANCES</w:t>
      </w:r>
    </w:p>
    <w:p>
      <w:r>
        <w:t>29. Regarding the retail sale of household appliances, the competition authorities usually distinguish three categories of products: "white," "brown," and "grey."</w:t>
      </w:r>
    </w:p>
    <w:p>
      <w:r>
        <w:t>30. The category of "white" products includes in particular cooktops, stoves, ovens, built-in sets, hoods, washing machines, dryers, dishwashers, refrigerators, freezers, small kitchen preparation appliances, and air conditioning products. Regarding the distribution of white products, the decision-making practice has left open the question of a possible sub-segmentation between small and large household appliances. It is not necessary to resolve this question in this case.</w:t>
      </w:r>
    </w:p>
    <w:p>
      <w:r>
        <w:t>31. The category of "brown" products includes in particular televisions, VCRs, camcorders, hi-fi and audio equipment, digital devices, and DVD players.</w:t>
      </w:r>
    </w:p>
    <w:p>
      <w:r>
        <w:t>32. The category of "grey" products includes in particular personal computers, monitors, peripherals (such as printers or scanners), keyboards, modular accessories or spare parts (such as memory cards or additional hard drives, for example), and may extend to software and telephony.</w:t>
      </w:r>
    </w:p>
    <w:p>
      <w:r>
        <w:t>33. The target has only a marginal activity in the distribution of household appliances, exclusively of "white" products and almost exclusively of large household appliances, as the products it offers are generally built-in and complement its kitchen designer activity. The operation therefore only results in overlap for this category of products.</w:t>
      </w:r>
    </w:p>
    <w:p>
      <w:r>
        <w:rPr>
          <w:b/>
        </w:rPr>
        <w:t>[Pages 7–9]</w:t>
      </w:r>
    </w:p>
    <w:p>
      <w:r>
        <w:t>B. GEOGRAPHICAL DELIMITATION OF MARKETS</w:t>
      </w:r>
    </w:p>
    <w:p>
      <w:r>
        <w:t>1. UPSTREAM MARKETS FOR THE SUPPLY OF HOUSEHOLD APPLIANCES, FURNITURE PRODUCTS, AND BAZAAR AND DECORATION PRODUCTS</w:t>
      </w:r>
    </w:p>
    <w:p>
      <w:r>
        <w:t>34. Regarding supply markets, the decision-making practice of competition authorities has recognized at least a national dimension, if not a European one.</w:t>
      </w:r>
    </w:p>
    <w:p>
      <w:r>
        <w:t>35. There is no reason to challenge this delimitation in the context of the present operation.</w:t>
      </w:r>
    </w:p>
    <w:p>
      <w:r>
        <w:t>2. DOWNSTREAM MARKETS FOR THE DISTRIBUTION OF FURNITURE PRODUCTS, BAZAAR AND DECORATION PRODUCTS, AND HOUSEHOLD APPLIANCES</w:t>
      </w:r>
    </w:p>
    <w:p>
      <w:r>
        <w:t>36. Concerning the downstream markets for the retail distribution of furniture products, bazaar and decoration products, and household appliances, the competition authorities consider that they are of a local dimension. It has been considered that, for this type of purchase, consumers are willing to travel for a duration of 20 to 45 minutes to reach a store. However, this duration varies depending on the characteristics of each area, such as geography, population density, or the state of supply itself. The actual behavior of consumers in a given area can be specified with data collected by stores on the location of their customers weighted by the relevant turnover. It is generally considered that the catchment area of the store can be limited to that in which 80% of the store's turnover is achieved, the remainder being considered as occasional customers (hereinafter referred to as "the actual footprint").</w:t>
      </w:r>
    </w:p>
    <w:p>
      <w:r>
        <w:t>37. In this case, the notifying party conducted its analysis based on both methodologies. The conclusions of the competitive analysis remain unchanged regardless of the method chosen.</w:t>
      </w:r>
    </w:p>
    <w:p>
      <w:r>
        <w:t>III. Competitive Analysis</w:t>
      </w:r>
    </w:p>
    <w:p>
      <w:r>
        <w:t>38. The competitive analysis is based, at the national level, on an estimation of market shares in value. At the local level, however, in accordance with decision-making practice and given the difficulty of reliably estimating the turnover achieved by competing stores in an area, market shares are evaluated in terms of sales area.</w:t>
      </w:r>
    </w:p>
    <w:p>
      <w:r>
        <w:t>14 See in particular the decision of the European Commission M.4392 of November 30, 2006 DSGI/FR-Invest/F-Group JV and the decision of the European Commission M.4226 mentioned above of June 26, 2006.</w:t>
      </w:r>
    </w:p>
    <w:p>
      <w:r>
        <w:t>15 See in particular the decisions of the competition authority n°11-DCC-78 of May 18, 2011 and decision n°11-DCC-87 mentioned above.</w:t>
      </w:r>
    </w:p>
    <w:p>
      <w:r>
        <w:t>16 See in particular the opinion of the Competition Council n°07-A-06 mentioned above.</w:t>
      </w:r>
    </w:p>
    <w:p>
      <w:r>
        <w:t>17 Customers are asked for their postal codes at checkout.</w:t>
      </w:r>
    </w:p>
    <w:p>
      <w:r>
        <w:t>18 See in particular the decisions of the Competition Authority n°11-DCC-78 of May 18, 2011 and decision n°11-DCC-87 mentioned above.</w:t>
      </w:r>
    </w:p>
    <w:p>
      <w:r>
        <w:t>A. ANALYSIS OF HORIZONTAL EFFECTS</w:t>
      </w:r>
    </w:p>
    <w:p>
      <w:r>
        <w:t>1. UPSTREAM MARKETS FOR THE SUPPLY OF FURNITURE PRODUCTS, BAZAAR AND DECORATION PRODUCTS, AND HOUSEHOLD APPLIANCES</w:t>
      </w:r>
    </w:p>
    <w:p>
      <w:r>
        <w:t>39. The notifying party was unable to provide the positions of the target and the acquirer in the upstream market for supply. However, it argued that they were not significantly different from their market shares in the downstream retail distribution markets of the relevant products and that a significant portion of their supply of furniture and decoration/bazaar products is in any case sourced outside France. In these downstream markets, the market shares of Conforama are estimated by the notifying party at [10-20]% in the furniture market, [0-5]% in the decoration/bazaar products market, and below 10% in the small and large household appliances markets. The twelve points of sale subject to the acquisition represent less than [0-5]% of these markets.</w:t>
      </w:r>
    </w:p>
    <w:p>
      <w:r>
        <w:t>40. Furthermore, there are other major groups in France present in the distribution of furniture and decoration/bazaar products, such as Ikea and But, and in the distribution of white goods, such as Darty and Boulanger.</w:t>
      </w:r>
    </w:p>
    <w:p>
      <w:r>
        <w:t>41. Therefore, the operation is not likely to raise competition issues in the supply markets through horizontal effects.</w:t>
      </w:r>
    </w:p>
    <w:p>
      <w:r>
        <w:t>2. DOWNSTREAM MARKETS FOR THE RETAIL DISTRIBUTION OF FURNITURE PRODUCTS, DECORATION AND BAZAAR PRODUCTS, AND HOUSEHOLD APPLIANCES</w:t>
      </w:r>
    </w:p>
    <w:p>
      <w:r>
        <w:t>42. The conclusion on December 20, 2013, of a supply agreement between Mobilier Européen and SISL cannot be considered as limiting the commercial autonomy of the points of sale under the Fly, Atlas, and Crozatier brands compared to the Conforama points of sale, as this agreement does not provide for any exclusivity of supply in favor of SISL and no commitment to minimum volume. It has therefore been considered that the brands of the Rapp group, on the one hand, and Conforama, on the other hand, remain competitors in the markets for the relevant products.</w:t>
      </w:r>
    </w:p>
    <w:p>
      <w:r>
        <w:t>43. Unless otherwise stated, the local market shares presented have been estimated using the actual footprint method.</w:t>
      </w:r>
    </w:p>
    <w:p>
      <w:r>
        <w:t>a) The market for household appliances</w:t>
      </w:r>
    </w:p>
    <w:p>
      <w:r>
        <w:t>44. At the national level, the notifying party estimates that Conforama's market shares in value in the household appliances market amount to 5% and to less than 10% in the large household appliances segment, with the target points of sale representing less than 0.1% of sales regardless of the segmentation chosen. The activity of the target points of sale is marginal in this market as it only offers generally built-in products and almost exclusively accessories to integrated kitchen offers.</w:t>
      </w:r>
    </w:p>
    <w:p>
      <w:r>
        <w:t>45. At the local level, the combined market shares of the parties in the retail sale of white goods are below 10% in each of the relevant areas. The notifying party has not been able to provide the market shares for the large household appliances segment for the local areas. However, the risks of harming competition can be ruled out given Conforama's limited market share at the national level in large household appliances, the marginal level of white goods in the target's activity, and the presence of numerous specialist competitors in household appliances in the areas of each of the stores involved in the operation.</w:t>
      </w:r>
    </w:p>
    <w:p>
      <w:r>
        <w:t>b) The market for decoration and bazaar products</w:t>
      </w:r>
    </w:p>
    <w:p>
      <w:r>
        <w:t>46. Following the operation, the combined market shares of the parties in the various relevant catchment areas will remain below 20%.</w:t>
      </w:r>
    </w:p>
    <w:p>
      <w:r>
        <w:t>Conforama Target (Atlas or Fly) Total</w:t>
        <w:br/>
        <w:t>Exincourt [5-10]% [0-5]% [5-10]%</w:t>
        <w:br/>
        <w:t>Gondreville [10-20]% [0-5]% [10-20]%</w:t>
        <w:br/>
        <w:t>Saint-Bonnet-de-Mure [10-20]% [0-5]% [10-20]%</w:t>
        <w:br/>
        <w:t>Vendenheim [0-5]% [0-5]% [5-10]%</w:t>
        <w:br/>
        <w:t>Villeneuve-Loubet20 [10-20]% [5-10]% [10-20]%</w:t>
        <w:br/>
        <w:t>Saint-Egrève (departure from Atlas store) [0-5]% [0-5]% [5-10]%</w:t>
        <w:br/>
        <w:t>Saint-Egreve (departure from Fly store) [5-10]% [0-5]% [5-10]%</w:t>
        <w:br/>
        <w:t>Gorron -- [10-20]% [10-20]%</w:t>
        <w:br/>
        <w:t>Salaise-sur-Sanne -- [0-5]% [0-5]%</w:t>
        <w:br/>
        <w:t>Orange [0-5]% [0-5]% [0-5]%</w:t>
        <w:br/>
        <w:t>La Chapelle-des-Fougeretz [0-5]% [0-5]% [0-5]%</w:t>
      </w:r>
    </w:p>
    <w:p>
      <w:r>
        <w:t>47. In each of the relevant catchment areas, the entity resulting from the operation will continue to face competition from numerous points of sale, including several national brands (such as Ikea, Alinéa, and Habitat).</w:t>
      </w:r>
    </w:p>
    <w:p>
      <w:r>
        <w:t>48. Under these conditions, the operation is not likely to raise competition issues in the relevant local markets.</w:t>
      </w:r>
    </w:p>
    <w:p>
      <w:r>
        <w:t>c) The market for furniture products</w:t>
      </w:r>
    </w:p>
    <w:p>
      <w:r>
        <w:t>49. The notifying party estimated Conforama's market share in value, at the national level, at [20-30]% in the market for the distribution of furniture products. The target stores represent approximately [0-5]% of the market. Therefore, the operation only results in a slight strengthening of the Conforama group at the national level.</w:t>
      </w:r>
    </w:p>
    <w:p>
      <w:r>
        <w:t>20 In this same municipality, one Atlas store and one Fly store are involved in the operation; the market shares are identical.</w:t>
      </w:r>
    </w:p>
    <w:p>
      <w:r>
        <w:rPr>
          <w:b/>
        </w:rPr>
        <w:t>[Pages 10–11]</w:t>
      </w:r>
    </w:p>
    <w:p>
      <w:r>
        <w:t>50. At the local level, following the operation, Conforama's market share will not exceed 25% in the areas of the target stores located in Saint-Egrève (38)21, Orange (84), Gorron (53), Salaise-sur-Sanne (38), and La Chapelle-des-Fougeretz (35).</w:t>
      </w:r>
    </w:p>
    <w:p>
      <w:r>
        <w:t>51. In the catchment areas of the other points of sale involved in the operation, the market shares of the parties are as follows:</w:t>
        <w:br/>
        <w:t>Conforama Target (Atlas or Fly) Total</w:t>
        <w:br/>
        <w:t>Exincourt [10-20]% [10-20]% [30-40]%</w:t>
        <w:br/>
        <w:t>Gondreville [20-30]% [10-20]% [30-40]%</w:t>
        <w:br/>
        <w:t>Saint-Bonnet-de-Mure [20-30]% [5-10]% [30-40]%</w:t>
        <w:br/>
        <w:t>Vendenheim [5-10]% [20-30]% [20-30]%</w:t>
        <w:br/>
        <w:t>Villeneuve-Loubet22 [20-30]% [10-20]% [30-40]%</w:t>
      </w:r>
    </w:p>
    <w:p>
      <w:r>
        <w:t>52. In Exincourt (25), Saint-Bonnet-de-Mure (69), and Vendenheim (67), Conforama's market share following the operation would be around [30-40]%. Conforama will still face competition from numerous competitors in these areas, including several national brands (such as But, Ikea, Géant du Meuble, or Mobilier de France).</w:t>
      </w:r>
    </w:p>
    <w:p>
      <w:r>
        <w:t>53. In Gondreville (54), following the operation, Conforama would hold a market share of [30-40]%. However, the new entity will still face competition from many other points of sale, including several national brands, such as a Géant du Meuble store ([10-20]%), an Alinéa store ([10-20]%), a But store ([5-10]%), a Fly store ([5-10]%), and a Mobilier de France store ([0-5]%).</w:t>
      </w:r>
    </w:p>
    <w:p>
      <w:r>
        <w:t>54. In Villeneuve-Loubet (06), the operation involves two points of sale, respectively under the Atlas and Fly brands. Following this, Conforama's market share will rise to [30-40]%. However, Conforama will still face competition in this area from several national brands, including a Basika store ([10-20]%), a Fly store ([10-20]%), a But store ([5-10]%), a Habitat store ([5-10]%), a Crozatier store ([5-10]%), and a Mobilier de France store ([5-10]%).</w:t>
      </w:r>
    </w:p>
    <w:p>
      <w:r>
        <w:t>55. The operation is therefore not likely to harm competition through horizontal effects in the affected local areas.</w:t>
      </w:r>
    </w:p>
    <w:p>
      <w:r>
        <w:t>B. ANALYSIS OF VERTICAL EFFECTS</w:t>
      </w:r>
    </w:p>
    <w:p>
      <w:r>
        <w:t>56. A vertical concentration can restrict competition by making access to the markets in which the new entity will operate more difficult, or even potentially driving out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However, the decision-making practice of competition authorities generally dismisses these lock-in risks when the market share of the company resulting from the operation in the relevant markets does not exceed 30%.</w:t>
      </w:r>
    </w:p>
    <w:p>
      <w:r>
        <w:t>57. The Steinhoff group is present in the supply market as a manufacturer and supplier of furniture. It does not manufacture bazaar/decoration products or household appliances. In France, the Steinhoff group represents [10-20]% of the furniture supply. However, almost all of its sales are made internally, to the Conforama group. Excluding internal sales to Conforama, the market share of the Steinhoff group in the supply market is almost negligible at the national level.</w:t>
      </w:r>
    </w:p>
    <w:p>
      <w:r>
        <w:t>58. Currently, both Conforama and Mobilier Européen rely on alternative suppliers for the vast majority of their supply (Conforama sources only about [5-10]% of its purchases from the Steinhoff group and Mobilier Européen sources less than [0-5]%). Furthermore, the operation only concerns a limited number of points of sale and has only a marginal impact on Conforama's position as a buyer in the supply market.</w:t>
      </w:r>
    </w:p>
    <w:p>
      <w:r>
        <w:t>59. Finally, given the market shares of the parties downstream, alternative suppliers also have multiple other outlets beyond Conforama and Mobilier Européen.</w:t>
      </w:r>
    </w:p>
    <w:p>
      <w:r>
        <w:t>60. In light of the above elements, the operation is not likely to harm competition through vertical effects.</w:t>
      </w:r>
    </w:p>
    <w:p>
      <w:r>
        <w:t>DECIDES</w:t>
      </w:r>
    </w:p>
    <w:p>
      <w:r>
        <w:t>Sole Article: The operation notified under number 13-245 is authorized.</w:t>
      </w:r>
    </w:p>
    <w:p>
      <w: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