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https://www.autoritedelaconcurrence.fr/fr/decision-de-controle-des-concentrations/relative-la-prise-de-controle-exclusif-de-14-fonds-de</w:t>
      </w:r>
    </w:p>
    <w:p>
      <w:r>
        <w:t>Pages translated : 2</w:t>
      </w:r>
    </w:p>
    <w:p/>
    <w:p>
      <w:r>
        <w:rPr>
          <w:b/>
        </w:rPr>
        <w:t>[Pages 1–2]</w:t>
      </w:r>
    </w:p>
    <w:p>
      <w:r>
        <w:t xml:space="preserve">FRENCH REPUBLIC  </w:t>
        <w:br/>
        <w:t xml:space="preserve">Decision No. 22-DCC-143 of July 28, 2022  </w:t>
        <w:br/>
        <w:t xml:space="preserve">regarding the exclusive control acquisition of 14 retail businesses predominantly in the food sector by the company Distribution Casino France (Casino Group)  </w:t>
        <w:br/>
        <w:t xml:space="preserve">The Competition Authority,  </w:t>
        <w:br/>
        <w:t xml:space="preserve">Having regard to the complete notification file submitted to the mergers department on July 5, 2022, concerning the exclusive control acquisition of 14 retail businesses predominantly in the food sector by the company Distribution Casino France, formalized by a firm offer signed on June 2,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Distribution Casino France of 14 retail businesses predominantly in the food sector of the supermarket type previously operated under the Utile brand.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22-154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