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https://www.autoritedelaconcurrence.fr/fr/decision-de-controle-des-concentrations/relative-la-prise-de-controle-exclusif-de-14-points-de</w:t>
      </w:r>
    </w:p>
    <w:p>
      <w:r>
        <w:t>Pages translated : 2</w:t>
      </w:r>
    </w:p>
    <w:p/>
    <w:p>
      <w:r>
        <w:rPr>
          <w:b/>
        </w:rPr>
        <w:t>[Pages 1–2]</w:t>
      </w:r>
    </w:p>
    <w:p>
      <w:r>
        <w:t xml:space="preserve">FRENCH REPUBLIC  </w:t>
        <w:br/>
        <w:t xml:space="preserve">Decision No. 16-DCC-162 of October 28, 2016  </w:t>
        <w:br/>
        <w:t xml:space="preserve">regarding the exclusive control acquisition of 14 retail outlets under the "Jardiland" brand and SAS La Paysagerie by the Jardiland group  </w:t>
        <w:br/>
        <w:t xml:space="preserve">The Competition Authority,  </w:t>
        <w:br/>
        <w:t xml:space="preserve">Having regard to the complete notification file sent to the mergers department on October 12, 2016, concerning the exclusive control acquisition of 14 retail outlets under the "Jardiland" brand and SAS La Paysagerie by the Jardiland group, formalized by 18 transfer agreements dated July 29,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Jardiland group, controlled by L-GAM Investments SCSp, of fourteen retail outlets under the "Jardiland" brand and SAS La Paysagerie, specialized in the distribution of gardening products, DIY, outdoor arrangements, and pet supplies, and belonging, prior to the operation, to the Prieux group. This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16-185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