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https://www.autoritedelaconcurrence.fr/fr/decision-de-controle-des-concentrations/relative-la-prise-de-controle-exclusif-de-18-fonds-de</w:t>
      </w:r>
    </w:p>
    <w:p>
      <w:r>
        <w:t>Pages translated : 2</w:t>
      </w:r>
    </w:p>
    <w:p/>
    <w:p>
      <w:r>
        <w:rPr>
          <w:b/>
        </w:rPr>
        <w:t>[Pages 1–2]</w:t>
      </w:r>
    </w:p>
    <w:p>
      <w:r>
        <w:t xml:space="preserve">FRENCH REPUBLIC  </w:t>
        <w:br/>
        <w:t xml:space="preserve">Decision No. 22-DCC-86 of May 19, 2022  </w:t>
        <w:br/>
        <w:t xml:space="preserve">regarding the exclusive control of 18 business assets under the "Monoprix" brand by the Legout group  </w:t>
        <w:br/>
        <w:t xml:space="preserve">The Competition Authority,  </w:t>
        <w:br/>
        <w:t xml:space="preserve">Having regard to the complete notification file sent to the mergers department on April 25, 2022, concerning the exclusive control of 18 business assets under the "Monoprix" brand by the Legout group, formalized by a purchase promise dated April 22,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by the Legout group, which operates stores under the "Mr Bricolage" brand, of 18 business assets under the "Monoprix" brand. The parties are active in the sectors of retail trade of miscellaneous goods, decoration, and DIY.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22-097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