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https://www.autoritedelaconcurrence.fr/fr/decision-de-controle-des-concentrations/relative-la-prise-de-controle-exclusif-de-18-points-de</w:t>
      </w:r>
    </w:p>
    <w:p>
      <w:r>
        <w:t>Pages translated : 8</w:t>
      </w:r>
    </w:p>
    <w:p/>
    <w:p>
      <w:r>
        <w:rPr>
          <w:b/>
        </w:rPr>
        <w:t>[Pages 1–3]</w:t>
      </w:r>
    </w:p>
    <w:p>
      <w:r>
        <w:t xml:space="preserve">FRENCH REPUBLIC  </w:t>
        <w:br/>
        <w:t xml:space="preserve">Decision No. 24-DCC-179 of August 5, 2024  </w:t>
        <w:br/>
        <w:t xml:space="preserve">regarding the exclusive control of 18 retail outlets of the  </w:t>
        <w:br/>
        <w:t xml:space="preserve">Casino group by Mr. Patrick Rocca  </w:t>
        <w:br/>
        <w:t xml:space="preserve">The Competition Authority,  </w:t>
        <w:br/>
        <w:t xml:space="preserve">Having regard to the notification file submitted in full to the concentrations service on July 8, 2024,  </w:t>
        <w:br/>
        <w:t xml:space="preserve">regarding the exclusive control of 18 retail outlets operated under the brands of the  </w:t>
        <w:br/>
        <w:t xml:space="preserve">Casino group by Mr. Patrick Rocca, formalized by a unilateral purchase promise  </w:t>
        <w:br/>
        <w:t xml:space="preserve">signed on June 21, 2024;  </w:t>
        <w:br/>
        <w:t xml:space="preserve">Having regard to Book IV of the Commercial Code relating to price freedom and competition, and  </w:t>
        <w:br/>
        <w:t xml:space="preserve">notably its Articles L. 430-1 to L. 430-7;  </w:t>
        <w:br/>
        <w:t xml:space="preserve">Having regard to the supplementary elements transmitted by the notifying party during the investigation;  </w:t>
        <w:br/>
        <w:t>Adopts the following decision:</w:t>
      </w:r>
    </w:p>
    <w:p>
      <w:r>
        <w:t xml:space="preserve">I. The Companies Involved and the Operation  </w:t>
        <w:br/>
        <w:t xml:space="preserve">1. Mr. Rocca heads the Rocca group, which is notably active in the retail distribution sector of predominantly food products through a hypermarket under the Auchan brand, located in Sarrola Carcopino (2A). The Rocca group is also active in the sectors of waste collection, real estate promotion and professional leasing, land transport and goods storage, and in the retail trade of non-food products.  </w:t>
        <w:br/>
        <w:t xml:space="preserve">2. The 18 target stores are owned by the company Codim 2, a subsidiary of the Casino, Guichard-Perrachon group (hereinafter, "CGP"), which operates them in Corsica under the Casino brands (Cash Corse, Sud Cash, Casino, Casino Drive, Géant). They consist of 15 retail points of predominantly food products, including four hypermarkets, nine supermarkets, and two isolated drives, as well as three wholesale points of predominantly food products ("cash &amp; carry").  </w:t>
        <w:br/>
        <w:t xml:space="preserve">3. The notified operation consists of the transfer of 100% of the shares, securities, or other financial instruments representing 100% of the share capital and voting rights of Codim 2, held by the company Distribution Casino France (a subsidiary of CGP), to an entity exclusively controlled by the Rocca group. It therefore entails the exclusive control of the 18 target stores ultimately by Mr. Rocca. Concurrently with the operation, Mr. Rocca and Auchan must conclude a master franchise agreement under which Auchan will authorize him to operate the target stores under its brand in Corsica.  </w:t>
        <w:br/>
        <w:t xml:space="preserve">4. The companies involved together achieve a total worldwide turnover of more than 75 million euros (Rocca group: [&gt; 75] million euros for the fiscal year ending December 31, 2022; the 18 target stores: [&gt; 75] million euros for the same fiscal year). Each of these companies achieves, in France, a turnover exceeding 15 million euros (Rocca group: [&gt; 15] million euros for the fiscal year ending December 31, 2022; the 18 target stores: [&gt; 15] million euros for the same fiscal year). Given the turnover achieved by the companies involved, the operation does not fall under the jurisdiction of the European Union. However, the thresholds related to retail trade mentioned in II of Article L. 430-2 of the Commercial Code are exceeded. This operation is therefore subject to the provisions of Articles L. 430-3 and following of the Commercial Code relating to economic concentration.  </w:t>
        <w:br/>
        <w:t>1 The master franchise agreement not having been finalized at the time of the investigation of this operation, the Authority is not in a position to rule on the existence of any potential joint control of the Auchan group over the target stores. It is up to the notifying party and the Auchan group to ensure that the concluded contract does not lead to a modification of the exclusive control of the Rocca group over the target stores notified to the Authority. Otherwise, a new notification would be required.</w:t>
      </w:r>
    </w:p>
    <w:p>
      <w:r>
        <w:t xml:space="preserve">II. Delimitation of Relevant Markets  </w:t>
        <w:br/>
        <w:t xml:space="preserve">5. The parties are simultaneously present in the upstream markets for the supply of everyday consumer goods (A) and in the downstream markets for the retail distribution of predominantly food products (B) where the overlaps in activity at the local level concern only one target hypermarket and one target supermarket.  </w:t>
        <w:br/>
        <w:t xml:space="preserve">A. UPSTREAM MARKETS FOR THE SUPPLY OF EVERYDAY CONSUMER GOODS  </w:t>
        <w:br/>
        <w:t xml:space="preserve">1. PRODUCT MARKETS  </w:t>
        <w:br/>
        <w:t xml:space="preserve">6. A consistent decision-making practice of the Authority defines these markets according to the families or groups of products concerned and their distribution channel (large food retail outlets or "GSA", large specialized retail outlets or "GSS"). Within the distribution channel intended for GSAs, the Authority has considered a segmentation based on the commercial positioning of the product (manufacturer brand or "MDF", or distributor brand or "MDD").  </w:t>
        <w:br/>
        <w:t xml:space="preserve">7. The Authority has also distinguished a market for the supply of organic products distinct from that for the supply of conventional (non-organic) products.  </w:t>
        <w:br/>
        <w:t xml:space="preserve">8. In this case, the effects of the operation have been analyzed in these markets where the parties are concurrently active on the demand side as buyers.  </w:t>
        <w:br/>
        <w:t xml:space="preserve">2. GEOGRAPHICAL MARKETS  </w:t>
        <w:br/>
        <w:t xml:space="preserve">9. The markets for the supply of everyday consumer goods are generally of national dimension.  </w:t>
        <w:br/>
        <w:t xml:space="preserve">10. In its opinion No. 20-A-11 of November 17, 2020, regarding the level of concentration of markets in Corsica and its impact on local competition, the Authority noted that Corsican stores primarily source from the purchasing centers of brands on the mainland, whose warehouses are mostly located in the southeast of France, near the main ports for shipping goods to Corsica (Marseille and Toulon). However, it specified that the integration of local products  </w:t>
        <w:br/>
        <w:t xml:space="preserve">2 The activities of the parties do not overlap in the wholesale distribution markets of predominantly food products. The Rocca group is also active in the transport and storage sector, particularly of food products, which could present a vertical link with the market for the supply of predominantly food products. However, its subsidiary Rocca Transports has no contractual link with the groups active in the retail distribution of predominantly food products, which have several alternatives for supplying their retail points in Corsica. Finally, the Rocca group operates several non-food retail points under the brands Blue Box, ERAM, Orchestra, Sport 2000, Décathlon, Cultura, Nature et Découvertes, and Boulanger. In these markets, the operation is not likely to raise a risk of harm to competition insofar as, for each non-food retail point operated by the Rocca group, the consumer has, in addition to competing hypermarkets Carrefour and E. Leclerc, at least three specialized national competitors located within 15 minutes of the target store with which there is an overlap in activity between the parties.  </w:t>
        <w:br/>
        <w:t xml:space="preserve">3 Decision of the Authority No. 24-DCC-02 of January 11, 2024, regarding the exclusive control of 61 stores formerly under the Casino brand by the company ITM Entreprises.  </w:t>
        <w:br/>
        <w:t>4 Ibid.</w:t>
      </w:r>
    </w:p>
    <w:p>
      <w:r>
        <w:rPr>
          <w:b/>
        </w:rPr>
        <w:t>[Pages 4–6]</w:t>
      </w:r>
    </w:p>
    <w:p>
      <w:r>
        <w:t xml:space="preserve">can represent up to 30% of the food products sold by Corsican large-scale retailers, which is a higher proportion than that of their counterparts located on the mainland.  </w:t>
        <w:br/>
        <w:t xml:space="preserve">11. The structural constraints related to insularity particularly explain this greater reliance on local producers: since the purchasing centers are located on the mainland, the necessary reliance on maritime transport inevitably lengthens the supply chain. This implies frequent rotations, increasing the cost of supplying everyday consumer goods in Corsica and thus favoring local producers who, for the same reasons, depend more heavily on Corsican large-scale retailers for the sale of their products.  </w:t>
        <w:br/>
        <w:t xml:space="preserve">12. The issue of a market for the supply of consumer goods limited to Corsica may, however, be left open, as the conclusions of the competitive analysis remain unchanged regardless of the geographical market considered.  </w:t>
        <w:br/>
        <w:t xml:space="preserve">13. In this case, the effects of the operation have been analyzed at the national level and at the local level (Corsica only).  </w:t>
        <w:br/>
        <w:t xml:space="preserve">B. DOWNSTREAM MARKETS FOR THE RETAIL DISTRIBUTION OF PREDOMINANTLY FOOD PRODUCTS  </w:t>
        <w:br/>
        <w:t xml:space="preserve">1. PRODUCT MARKETS  </w:t>
        <w:br/>
        <w:t xml:space="preserve">14. The overlaps in activity between the parties in these markets concern one target hypermarket and one target supermarket, which belong to two distinct categories of trade.  </w:t>
        <w:br/>
        <w:t xml:space="preserve">15. In its decision-making practice, the Authority distinguishes:  </w:t>
        <w:br/>
        <w:t xml:space="preserve"> a market comprising only hypermarkets, which have a sales area greater than 2,500 m²; and  </w:t>
        <w:br/>
        <w:t xml:space="preserve"> a market comprising supermarkets, which have a sales area between 400 and 2,500 m², and equivalent forms of trade (hypermarkets, discount stores, and popular stores), excluding small retail (less than 400 m²) and specialized trade.  </w:t>
        <w:br/>
        <w:t xml:space="preserve">16. When the target store is a hypermarket, both markets presented above are analyzed. The competitive analysis, on the other hand, focuses solely on the second market when the target store is a supermarket.  </w:t>
        <w:br/>
        <w:t xml:space="preserve">2. GEOGRAPHICAL MARKETS  </w:t>
        <w:br/>
        <w:t xml:space="preserve">17. The Authority examined the effects of concentrations in the retail distribution sector of predominantly food products at the local level, corresponding to the catchment area of each store, the extent of which depends on the time or distance of travel for the consumer.  </w:t>
        <w:br/>
        <w:t xml:space="preserve">18. Outside Île-de-France, it generally considers that the conditions of competition are assessed in two different areas:  </w:t>
        <w:br/>
        <w:t xml:space="preserve"> a first market ("primary zone") where consumer demand meets the supply of hypermarkets that they can access within less than 30 minutes of travel by car and which are, from their perspective, substitutable for each other; and,  </w:t>
        <w:br/>
        <w:t xml:space="preserve"> a second market ("secondary zone") where consumer demand meets the supply of supermarkets and equivalent forms of trade located within less than 15 minutes of travel time by car.  </w:t>
        <w:br/>
        <w:t xml:space="preserve">19. When the target store is a supermarket, the competitive analysis only concerns the second geographical market. When it is a hypermarket, both geographical markets presented above are analyzed.  </w:t>
        <w:br/>
        <w:t xml:space="preserve">III. Competitive Analysis  </w:t>
        <w:br/>
        <w:t xml:space="preserve">A. ANALYSIS OF HORIZONTAL EFFECTS  </w:t>
        <w:br/>
        <w:t xml:space="preserve">20. The acquirer and the target stores are simultaneously present in the upstream markets for everyday consumer goods and in the downstream markets for the distribution of predominantly food products.  </w:t>
        <w:br/>
        <w:t xml:space="preserve">1. UPSTREAM MARKETS FOR THE SUPPLY OF EVERYDAY CONSUMER GOODS  </w:t>
        <w:br/>
        <w:t xml:space="preserve">21. The target stores represent only a marginal fraction of hypermarkets (0.2%), supermarkets (0.2%), and isolated drives (0.3%) in the French territory at the national level. The combined market share of the new entity is therefore less than 1%.  </w:t>
        <w:br/>
        <w:t xml:space="preserve">22. All points of sale operated under the Auchan brand represent a market share of less than 25% at the national level, regardless of the segment considered. In this case, at the national level, the operation results in an increment of market share of less than [0-5] points in sales areas.  </w:t>
        <w:br/>
        <w:t xml:space="preserve">23. At the local level (Corsican community), the stores of the parties represent approximately [20-30]% of sales areas, with an estimated increment of market share of [0-5] points. Local producers have numerous alternatives in Corsica, notably consisting of large retail brands: Leclerc ([20-30]%), Casino ([10-20]%), Carrefour ([10-20]%), and Système U ([10-20]%).  </w:t>
        <w:br/>
        <w:t xml:space="preserve">24. Consequently, the operation is not likely to harm competition through the creation or strengthening of purchasing power in the upstream markets for the supply of everyday consumer goods.  </w:t>
        <w:br/>
        <w:t xml:space="preserve">2. DOWNSTREAM MARKETS FOR THE RETAIL DISTRIBUTION OF PREDOMINANTLY FOOD PRODUCTS  </w:t>
        <w:br/>
        <w:t xml:space="preserve">25. The activities of the parties overlap only at the level of one target hypermarket and one target supermarket, located in Ajaccio (2A).  </w:t>
        <w:br/>
        <w:t xml:space="preserve">26. When the market share of the new entity is between 25% and 50%, as is the case in this operation, the Authority conducts an analysis of the local competitive structure to determine whether the competitors present in the area constitute credible and sufficient alternatives. In previous decisions, the Authority has conducted this analysis based on filters that allow for the exclusion of competitive risks, particularly regarding the number of competitors present in the area. In the context of this instruction, the Authority applies a first filter: any competition issue can be excluded if, based on the elements of the case, at least three competing brands of national dimension are able to effectively compete with the stores of the new entity. If the criterion of this first filter is not met, the Authority examines, taking into account the characteristics of the area and the location of the various stores, whether there are other credible and sufficient alternatives capable of effectively competing with the stores of the new entity in the relevant area. It particularly considers the geographical location of these stores and their pricing positioning as resulting from price surveys or indices.  </w:t>
        <w:br/>
        <w:t xml:space="preserve">a) Zone of the Casino supermarket in Ajaccio  </w:t>
        <w:br/>
        <w:t xml:space="preserve">27. This store has a sales area of [1,000-2,000] m². In the catchment area of this store, the Rocca group operates a hypermarket with a sales area of [6,000-7,000] m². The combined market share of the parties, expressed in sales area, is estimated at [30-40]%.  </w:t>
        <w:br/>
        <w:t xml:space="preserve">28. The new entity will primarily face competition from the brands Carrefour ([20-30]%) and E. Leclerc ([20-30]%). The brands Casino ([5-10]%) and Système U ([0-5]%) are also present in the catchment area of the supermarket.  </w:t>
        <w:br/>
        <w:t xml:space="preserve">29. Consequently, applying the filter set out in paragraph 26 above, the operation is not likely to harm competition in the catchment area of the Casino supermarket in Ajaccio.  </w:t>
        <w:br/>
        <w:t xml:space="preserve">b) Zone of the Géant hypermarket in Ajaccio  </w:t>
        <w:br/>
        <w:t xml:space="preserve">30. This store has a sales area of [7,000-8,000] m². In the primary and secondary catchment areas, the Rocca group operates a hypermarket with a sales area of [6,000-7,000] m².  </w:t>
        <w:br/>
        <w:t xml:space="preserve">31. In the secondary catchment area of the target store, the combined market share of the parties is estimated at [30-40]%.  </w:t>
        <w:br/>
        <w:t>32. In this area, the new entity will primarily face competition from the brands E. Leclerc ([20-30]%) and Carrefour ([20-30]%). The brands Casino ([5-10]%) and Système U are also present in the catchment area.</w:t>
      </w:r>
    </w:p>
    <w:p>
      <w:r>
        <w:rPr>
          <w:b/>
        </w:rPr>
        <w:t>[Pages 7–8]</w:t>
      </w:r>
    </w:p>
    <w:p>
      <w:r>
        <w:t xml:space="preserve">Système U ([0-5] %) are also present in the catchment area of this hypermarket.  </w:t>
        <w:br/>
        <w:t xml:space="preserve">33. Consequently, applying the filter set out in paragraph 26 above, the operation is not likely to harm competition in the secondary catchment area of the Géant hypermarket in Ajaccio.  </w:t>
        <w:br/>
        <w:t xml:space="preserve">34. In the primary catchment area of the target store, the combined market share of the parties is estimated at [40-50] %. In this area, the new entity will face competition from only two nationally sized competing brands, namely E. Leclerc ([30-40] %) and Carrefour ([20-30] %), each operating a hypermarket.  </w:t>
        <w:br/>
        <w:t xml:space="preserve">35. Since the criterion of the first filter set out in paragraph 26 above is not met, a more precise local analysis has therefore been conducted.  </w:t>
        <w:br/>
        <w:t xml:space="preserve">36. The hypermarket under the E. Leclerc brand, which has the largest sales area in the zone ([8,000-9,000] m²), is located between the two stores of the parties and, notably, in immediate proximity to the Auchan hypermarket operated by the acquirer. It is therefore particularly well positioned to benefit from any customer shifts in the event of price increases or deterioration in service quality by the new entity.  </w:t>
        <w:br/>
        <w:t xml:space="preserve">37. This competitive pressure is all the more significant as this E. Leclerc hypermarket benefits from a DISTRI PRIX index (A3 Distrib / Ed. Dauvers)10 that is much lower than those of the parties' stores (93.5 compared to 101.3 for the Auchan hypermarket and 107.6 for the Géant hypermarket).  </w:t>
        <w:br/>
        <w:t xml:space="preserve">38. Finally, the Authority considers that following the operation, the diversity of choices in food products in hypermarkets is preserved insofar as consumers will have credible alternatives from at least three major brands in large-scale distribution.  </w:t>
        <w:br/>
        <w:t xml:space="preserve">39. Consequently, the operation is not likely to harm competition in the primary catchment area of the Géant hypermarket in Ajaccio.  </w:t>
        <w:br/>
        <w:t>40. It follows from the above that the operation is not likely to harm competition across all the markets examined.</w:t>
      </w:r>
    </w:p>
    <w:p>
      <w:r>
        <w:t xml:space="preserve">DECIDES  </w:t>
        <w:br/>
        <w:t xml:space="preserve">Single Article: The operation notified under number 24-169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