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https://www.autoritedelaconcurrence.fr/fr/decision-de-controle-des-concentrations/relative-la-prise-de-controle-exclusif-de-19-fonds-de</w:t>
      </w:r>
    </w:p>
    <w:p>
      <w:r>
        <w:t>Pages translated : 2</w:t>
      </w:r>
    </w:p>
    <w:p/>
    <w:p>
      <w:r>
        <w:rPr>
          <w:b/>
        </w:rPr>
        <w:t>[Pages 1–2]</w:t>
      </w:r>
    </w:p>
    <w:p>
      <w:r>
        <w:t xml:space="preserve">FRENCH REPUBLIC  </w:t>
        <w:br/>
        <w:t xml:space="preserve">Decision No. 25-DCC-214 of September 22, 2025  </w:t>
        <w:br/>
        <w:t xml:space="preserve">regarding the exclusive control acquisition of 19 business assets under  </w:t>
        <w:br/>
        <w:t xml:space="preserve">the Auchan Supermarché brand and 8 service stations by the company  </w:t>
        <w:br/>
        <w:t xml:space="preserve">Lidl  </w:t>
        <w:br/>
        <w:t xml:space="preserve">The Competition Authority,  </w:t>
        <w:br/>
        <w:t xml:space="preserve">Having regard to the complete notification file sent to the mergers department on August 20, 2025,  </w:t>
        <w:br/>
        <w:t xml:space="preserve">concerning the exclusive control acquisition of 19 business assets under the Auchan Supermarché brand and 8 service stations by the company Lidl France SNC, formalized by a purchase promise agreement signed on July 24, 2025;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acquisition by the company Lidl France SNC of 19 food retail business assets operated under the Auchan Supermarché brand and 8 service stations linked to some of the food retail business assets. Given the turnover generated by the companies concerned, the operation does not fall under the jurisdiction of the European Union. However, the control thresholds mentioned in II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25-212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