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https://www.autoritedelaconcurrence.fr/fr/decision-de-controle-des-concentrations/relative-la-prise-de-controle-exclusif-de-21-magasins-de</w:t>
      </w:r>
    </w:p>
    <w:p>
      <w:r>
        <w:t>Pages translated : 2</w:t>
      </w:r>
    </w:p>
    <w:p/>
    <w:p>
      <w:r>
        <w:rPr>
          <w:b/>
        </w:rPr>
        <w:t>[Pages 1–2]</w:t>
      </w:r>
    </w:p>
    <w:p>
      <w:r>
        <w:t xml:space="preserve">FRENCH REPUBLIC  </w:t>
        <w:br/>
        <w:t xml:space="preserve">Decision No. 21-DCC-115 of June 25, 2021  </w:t>
        <w:br/>
        <w:t>regarding the exclusive control acquisition of 21 retail stores and the business assets of Gap France SAS by the company Financière Immobilière Bordelaise</w:t>
      </w:r>
    </w:p>
    <w:p>
      <w:r>
        <w:t>The Competition Authority,</w:t>
      </w:r>
    </w:p>
    <w:p>
      <w:r>
        <w:t>Having regard to the complete notification file submitted to the mergers department on June 4, 2021, concerning the exclusive control acquisition by the company Financière Immobilière Bordelaise of 21 retail stores and the national business assets of Gap France SAS, formalized by a takeover offer dated April 9, 2021;</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 xml:space="preserve">Adopts the following decision:  </w:t>
        <w:br/>
        <w:t xml:space="preserve">1. The notified operation consists of the exclusive control acquisition by the company Financière Immobilière Bordelaise of 21 retail stores and the national business assets of Gap France SAS. The target stores are primarily active in the retail sector of clothing, accessories, and shoes for women, men, and children. The operation constitutes a concentration operation within the meaning of Article L. 430-1 of the Commercial Code. Given the turnover generated by the concerned companies,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21-086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