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https://www.autoritedelaconcurrence.fr/fr/decision-de-controle-des-concentrations/relative-la-prise-de-controle-exclusif-de-27-fonds-de</w:t>
      </w:r>
    </w:p>
    <w:p>
      <w:r>
        <w:t>Pages translated : 2</w:t>
      </w:r>
    </w:p>
    <w:p/>
    <w:p>
      <w:r>
        <w:rPr>
          <w:b/>
        </w:rPr>
        <w:t>[Pages 1–2]</w:t>
      </w:r>
    </w:p>
    <w:p>
      <w:r>
        <w:t>FRENCH REPUBLIC</w:t>
        <w:br/>
        <w:t>Decision No. 25-DCC-216 of September 24, 2025</w:t>
        <w:br/>
        <w:t>regarding the exclusive control acquisition of 27 business assets under the Monop’ brand by the company SMD</w:t>
        <w:br/>
        <w:t>The Competition Authority,</w:t>
        <w:br/>
        <w:t>Having regard to the complete notification file submitted to the mergers department on August 27, 2025, concerning the exclusive control acquisition of 27 business assets under the Monop’ brand by the company SMD, formalized by a transfer agreement signed on August 2, 2025;</w:t>
        <w:br/>
        <w:t>Having regard to Book IV of the Commercial Code relating to the freedom of prices and competition, and in particular its Articles L. 430-1 to L. 430-7;</w:t>
        <w:br/>
        <w:t>Having regard to the additional elements provided by the notifying party during the investigation;</w:t>
        <w:br/>
        <w:t>Adopts the following decision:</w:t>
        <w:br/>
        <w:t>1. The notified operation consists of the acquisition by the company SMD, which is jointly controlled by the Casino group and the company Imanes, of 27 business assets under the Monop’ brand. The 27 target business assets are, prior to the contemplated operation, exclusively controlled by the Casino group through the company Monop’. Among the target stores, eighteen are located in Paris intra-muros, six in the Hauts-de-Seine department, two in the Yvelines department, and one in the Seine-Saint-Denis department. This operation constitutes a concentration within the meaning of Article L. 430-1 of the Commercial Code. Given the turnover generated by the companies involved, the operation does not fall under the jurisdiction of the European Union. However, the control thresholds mentioned in II of Article L. 430-2 of the Commercial Code are exceeded. The present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25-121 is authorized.</w:t>
        <w:br/>
        <w:t>The President,</w:t>
        <w:br/>
        <w:t>Benoît Cœuré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