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https://www.autoritedelaconcurrence.fr/fr/decision-de-controle-des-concentrations/relative-la-prise-de-controle-exclusif-de-5-fonds-de</w:t>
      </w:r>
    </w:p>
    <w:p>
      <w:r>
        <w:t>Pages translated : 2</w:t>
      </w:r>
    </w:p>
    <w:p/>
    <w:p>
      <w:r>
        <w:rPr>
          <w:b/>
        </w:rPr>
        <w:t>[Pages 1–2]</w:t>
      </w:r>
    </w:p>
    <w:p>
      <w:r>
        <w:t xml:space="preserve">FRENCH REPUBLIC  </w:t>
        <w:br/>
        <w:t xml:space="preserve">Decision No. 26-DCC-86 of April 9, 2026  </w:t>
        <w:br/>
        <w:t xml:space="preserve">regarding the exclusive acquisition of control over 5 business assets under  </w:t>
        <w:br/>
        <w:t xml:space="preserve">the Monoprix and Casino brands and 2 service stations  </w:t>
        <w:br/>
        <w:t xml:space="preserve">by the company Lidl  </w:t>
        <w:br/>
        <w:t xml:space="preserve">The Competition Authority,  </w:t>
        <w:br/>
        <w:t xml:space="preserve">Having regard to the complete notification file submitted to the mergers department on March 23, 2026,  </w:t>
        <w:br/>
        <w:t xml:space="preserve">concerning the exclusive acquisition of control over 5 business assets under the Monoprix and  </w:t>
        <w:br/>
        <w:t xml:space="preserve">Casino brands and 2 service stations by the company Lidl France SNC, formalized by two business asset transfer deeds dated September 30, 2024, and October 31, 2024, as well as a unilateral purchase promise dated February 10,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three successive concentrations whereby the company Lidl  </w:t>
        <w:br/>
        <w:t xml:space="preserve">France SNC acquires exclusive control over 5 food retail business assets of supermarket and  </w:t>
        <w:br/>
        <w:t xml:space="preserve">popular store types operated under the Casino group brands located and 2 service stations linked to certain food retail business assets. The first two concentrations, carried out on September 30 and October 31, 2024, concern the acquisition of two business assets previously operated under the Casino brand and their adjacent service stations located in Le Passage d’Agen (47) and La Destrousse (13). The third concentration concerns the acquisition of three business assets under the Monoprix brand located in Chatou (78), Le Pecq (78), and Argenteuil (95). The operation constitutes a concentration within the meaning of Article L. 430-1 of the Commercial Code. Given the turnover generated by the companies involved,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26-053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