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https://www.autoritedelaconcurrence.fr/fr/decision-de-controle-des-concentrations/relative-la-prise-de-controle-exclusif-de-511-magasins-de</w:t>
      </w:r>
    </w:p>
    <w:p>
      <w:r>
        <w:t>Pages translated : 10</w:t>
      </w:r>
    </w:p>
    <w:p/>
    <w:p>
      <w:r>
        <w:rPr>
          <w:b/>
        </w:rPr>
        <w:t>[Pages 1–3]</w:t>
      </w:r>
    </w:p>
    <w:p>
      <w:r>
        <w:t>FRENCH REPUBLIC</w:t>
        <w:br/>
        <w:t>Decision No. 20-DCC-172 of December 8, 2020</w:t>
        <w:br/>
        <w:t>regarding the exclusive control acquisition of 511 stores of the company</w:t>
        <w:br/>
        <w:t>Camaïeu International and the company Financière Brame by the company</w:t>
        <w:br/>
        <w:t>Financière Immobilière Bordelaise</w:t>
        <w:br/>
        <w:t>The Competition Authority,</w:t>
        <w:br/>
        <w:t>Having regard to the notification file submitted to the merger service on July 17, 2020, declared complete on November 24, 2020, regarding the exclusive control acquisition of 511 stores of the company Camaïeu International and the company Financière Brame by the company Financière Immobilière Bordelaise, formalized by the offers dated July 21, 2020, and the judgment of the Lille Métropole Commercial Court dated August 17, 2020;</w:t>
        <w:br/>
        <w:t>Having regard to Book IV of the Commercial Code relating to price freedom and competition, and in particular its Articles L. 430-1 to L. 430-7;</w:t>
        <w:br/>
        <w:t>Having regard to the supplementary elements transmitted by the notifying party during the investigation;</w:t>
        <w:br/>
        <w:t>Adopts the following decision:</w:t>
      </w:r>
    </w:p>
    <w:p>
      <w:r>
        <w:t>Summary1</w:t>
        <w:br/>
        <w:t xml:space="preserve">Pursuant to the decision below, the Authority examined the exclusive control acquisition of 511 retail outlets of the company Camaïeu International and Financière Brame (hereinafter "the target assets") by Financière Immobilière Bordelaise (hereinafter "FIB"). FIB notably owns twenty-two Galeries Lafayette stores located in the provinces (notably in Amiens, Cannes, La Rochelle, Rouen, and Toulon) which it operates under a franchise. The target assets consist of 511 Camaïeu mid-range women's ready-to-wear stores, located in shopping centers or city centers. Considering the activities of FIB and the target assets, the Authority examined the effects of the operation, on the one hand, on the upstream markets for the supply of women's shoes and clothing and, on the other hand, on the downstream markets for the retail distribution of mid-range women's shoes and clothing. Regarding the upstream markets for the supply of women's shoes and clothing, the Authority considered that the operation was not likely to harm competition, given the very limited position (less than 1%) of the new entity following the operation. As for the downstream markets for the retail distribution of mid-range women's shoes and clothing, the Authority conducted an analysis at both the national and local levels. At the national level, the Authority ruled out the risks of harming competition, given the very limited position (less than 5%) of the new entity in these two markets following the operation. At the local level, concerning the distribution of mid-range women's shoes, the Authority considered that the operation was not likely to harm competition, given the limited position of the new entity following the operation in each of the catchment areas where the operation resulted in overlapping activities. Regarding the distribution of mid-range women's clothing, the parties were simultaneously present in 50 areas. The competitive analysis was conducted conservatively, leading the Authority not only to consider that Camaïeu and Galeries Lafayette were competitors with each other but also to take into account only the competition exerted on the new entity by the operators closest to Camaïeu in terms of commercial positioning (price levels and targeted clientele). In 48 of these 50 areas, any risk of harming competition was ruled out due to a cumulative market share, following the operation, of less than 45%, combined with the presence of at least three national competitors. The competitive risks related to the operation in the remaining two catchment areas (both located in Chalon-sur-Saône) were ruled out due to the large number of competitors present and a post-operation market share below 50%. </w:t>
        <w:br/>
        <w:t>1 This summary is strictly informative. Only the reasons for the decision numbered below are authoritative.</w:t>
      </w:r>
    </w:p>
    <w:p>
      <w:r>
        <w:t>I. The Companies Concerned and the Operation</w:t>
        <w:br/>
        <w:t>1. Financière Immobilière Bordelaise (hereinafter "FIB") is a French investment company specialized in commercial real estate, under the exclusive control of Mr. Michel Ohayon. The FIB group's portfolio mainly consists of shopping galleries, hotels, and offices in major French cities. The FIB group acquired, in 2018, 22 business assets under the Galeries Lafayette brand, operated under franchise, located in medium-density French cities (outside of Paris)2.</w:t>
        <w:br/>
        <w:t>2. The 511 target retail outlets are active in the market for the retail sale of women's clothing and, to a lesser extent, women's shoes and accessories. On the eve of the operation, they are controlled by the company Camaïeu International. The holding company3 Financière Brame holds 100% of the company Camaïeu International. It holds intangible assets (notably models, designs, trademarks, trademark licenses, domain names, the Camaïeu e-commerce website platform, and the software necessary for operating the stores) and tangible assets (notably the facilities and equipment located within the stores and the headquarters).</w:t>
        <w:br/>
        <w:t>3. The operation, formalized by the offers dated July 21, 2020, and the judgment of the Lille Métropole Commercial Court dated August 17, 2020, consists of the acquisition by the FIB group, on the one hand, of the 511 target retail outlets operated on the eve of the operation directly by the company Camaïeu International under the Camaïeu brand, as well as the online sales website of this company and, on the other hand, of the company Financière Brame, the holding company of Camaïeu International, which employs part of the staff at the group's headquarters. As it results in the exclusive control of the target assets, the notified operation constitutes a concentration within the meaning of Article L. 430-1 of the Commercial Code.</w:t>
        <w:br/>
        <w:t>4. The companies concerned together generate a total worldwide turnover of over 150 million euros (FIB: [≥ 150 million] euros for the fiscal year ending December 31, 2019; target assets: [≥ 150 million] euros for the fiscal year ending March 31, 2020). Each of these companies generates, in France, a turnover exceeding 50 million euros (FIB: [≥ 50 million] euros for the fiscal year ending December 31, 2019; target assets: [≥ 50 million] euros for the fiscal year ending March 31, 2020). Given these turnover figures, the operation does not have a European dimension. However, the control thresholds mentioned in I of Article L. 430-2 of the Commercial Code are exceeded. The present operation is therefore subject to the provisions of Articles L. 430-3 and following of the Commercial Code, relating to economic concentration.</w:t>
        <w:br/>
        <w:t>2 Decision of the Competition Authority No. 18-DCC-179 of October 30, 2018.</w:t>
        <w:br/>
        <w:t>3 Holding companies that lead the policy of their group, control their subsidiaries, and provide them, where appropriate, with specific services (administrative, legal, accounting, financial, and real estate) are considered to be holding companies.</w:t>
      </w:r>
    </w:p>
    <w:p>
      <w:r>
        <w:rPr>
          <w:b/>
        </w:rPr>
        <w:t>[Pages 4–6]</w:t>
      </w:r>
    </w:p>
    <w:p>
      <w:r>
        <w:t xml:space="preserve">II. Delimitation of Relevant Markets  </w:t>
        <w:br/>
        <w:t xml:space="preserve">A. UPSTREAM SUPPLY MARKETS  </w:t>
        <w:br/>
        <w:t xml:space="preserve">5. In the distributor supply sector, competition authorities consider that producers cannot easily switch to manufacturing products other than their own. They thus distinguish as many markets as there are product families. The Competition Authority has notably considered a supply market for shoes distinct from a supply market for clothing4.  </w:t>
        <w:br/>
        <w:t xml:space="preserve">6. The supply markets for clothing and shoes have a global dimension5.  </w:t>
        <w:br/>
        <w:t xml:space="preserve">7. In this case, the parties are simultaneously active in the supply markets for women's shoes and women's clothing.  </w:t>
        <w:br/>
        <w:t xml:space="preserve">B. DOWNSTREAM RETAIL MARKETS  </w:t>
        <w:br/>
        <w:t xml:space="preserve">1. PRODUCT MARKETS  </w:t>
        <w:br/>
        <w:t xml:space="preserve">a) Market for Retail Distribution of Clothing  </w:t>
        <w:br/>
        <w:t xml:space="preserve">8. Regarding the retail distribution of clothing, the Authority has considered several segmentations based on (i) the gender and age of consumers (men, women, children) and (ii) the range of products sold (entry-level, mid-range, and high-end)6.  </w:t>
        <w:br/>
        <w:t xml:space="preserve">9. Concerning distribution channels, it has distinguished, to date, sales made in physical stores and distance sales (online and by mail)7. The market for clothing distribution in stores is, finally, sub-segmented between sales in specialized boutiques, on the one hand, and sales in specialized large stores (hereinafter "GSS") and hypermarkets (hereinafter "GSA")8.  </w:t>
        <w:br/>
        <w:t xml:space="preserve">10. The question of the exact definition of the retail distribution market for clothing can, however, be left open insofar as, regardless of the segmentation chosen, the conclusions of the competitive analysis remain unchanged.  </w:t>
        <w:br/>
        <w:t xml:space="preserve">11. In this case, the parties are simultaneously active in the market for the retail distribution of mid-range women's clothing in physical stores through the brands Camaïeu and Galeries Lafayette.  </w:t>
        <w:br/>
        <w:t xml:space="preserve">b) Market for Retail Distribution of Footwear  </w:t>
        <w:br/>
        <w:t xml:space="preserve">12. As it has determined regarding the retail distribution of clothing, the Authority has segmented the market for retail distribution of footwear based on (i) the gender and age of consumers (men, women, children) and (ii) the range of products sold (entry-level, mid-range, and high-end)9.  </w:t>
        <w:br/>
        <w:t xml:space="preserve">13. It has also distinguished between the distribution of indoor shoes (slippers, charentaises) and the distribution of outdoor shoes, making a distinction between city shoes and sports shoes10.  </w:t>
        <w:br/>
        <w:t xml:space="preserve">14. The market for shoe distribution in stores is segmented by distribution channel, between sales in specialized boutiques and sales in GSS and GSA11. Furthermore, in decision n° 18-DCC-50 regarding the exclusive control acquisition of Sarenza by Monoprix, the Authority considered the existence of a single market including all distribution channels, without, however, resolving the issue12.  </w:t>
        <w:br/>
        <w:t xml:space="preserve">15. The question of the exact definition of the retail distribution market for footwear can, however, be left open insofar as, regardless of the segmentation chosen, the conclusions of the competitive analysis remain unchanged.  </w:t>
        <w:br/>
        <w:t xml:space="preserve">16. In this case, the parties are simultaneously active in the market for the retail distribution of mid-range women's footwear in physical stores through the brands Camaïeu and Galeries Lafayette.  </w:t>
        <w:br/>
        <w:t xml:space="preserve">2. GEOGRAPHIC MARKET  </w:t>
        <w:br/>
        <w:t xml:space="preserve">17. Regarding the retail distribution of footwear and clothing, the Authority considers that competition occurs between retail outlets located in the same catchment area. Two criteria are used to delineate these areas13:  </w:t>
        <w:br/>
        <w:t xml:space="preserve">- on the one hand, for specialized boutiques, there are as many geographic markets as there are cities where retailers likely to sell these items are located, each of these markets corresponding to the commercial attraction zone of the city in which one of the parties' stores is located;  </w:t>
        <w:br/>
        <w:t xml:space="preserve">- on the other hand, for GSS and GSA, the geographic market corresponds to a radius determined by a 20-minute drive from one of the parties' stores. This delineation is also retained for stores located in shopping centers adjacent to GSS or GSA.  </w:t>
        <w:br/>
        <w:t xml:space="preserve">18. Furthermore, the increasing weight in this sector of specialized distribution chains, consisting of networks of retail outlets under a common brand, operated directly, through franchising, or as purchasing groups and present throughout the national territory, raises the question of the interest in a complementary analysis at the national level14.  </w:t>
        <w:br/>
        <w:t xml:space="preserve">19. In this case, since the target's retail outlets are specialized boutiques, the competitive analysis will be conducted at the level of each city where the parties' activities overlap. The competitive analysis will also be conducted at the national level.  </w:t>
        <w:br/>
        <w:t xml:space="preserve">III. Competitive Analysis  </w:t>
        <w:br/>
        <w:t xml:space="preserve">20. The parties are simultaneously active in the upstream markets for the supply of women's clothing and footwear.  </w:t>
        <w:br/>
        <w:t xml:space="preserve">21. They are also simultaneously present in the downstream market for the retail distribution of mid-range women's footwear and clothing in physical stores.  </w:t>
        <w:br/>
        <w:t xml:space="preserve">1. UPSTREAM SUPPLY MARKETS  </w:t>
        <w:br/>
        <w:t xml:space="preserve">22. In the upstream markets for the supply of women's shoes and clothing, the parties have declared that the market share of the new entity will be less than 1%.  </w:t>
        <w:br/>
        <w:t xml:space="preserve">23. Consequently, the operation is not likely to harm competition in the supply markets.  </w:t>
        <w:br/>
        <w:t xml:space="preserve">2. DOWNSTREAM RETAIL MARKETS  </w:t>
        <w:br/>
        <w:t xml:space="preserve">a) Methodology for the Retail Distribution of Women's Clothing  </w:t>
        <w:br/>
        <w:t xml:space="preserve">24. The notifying party considers that the stores of the target and the acquirer do not belong to the same range. It estimates that Camaïeu stores sell entry-level shoes and clothing, while Galeries Lafayette stores primarily distribute mid-range and high-end shoes and clothing and that, as such, the parties are not in direct competition. The notifying party also specifies that it only determines the commercial policy for a portion of the products sold in its Galeries Lafayette stores, the prices of products from national brands "outside Galeries Lafayette" being directly determined by those brands, which pay FIB a commission on sales. Consequently, according to the notifying party, only the sales area dedicated to Galeries Lafayette brand products should be taken into account in the competitive analysis.  </w:t>
        <w:br/>
        <w:t>25. Regarding the positioning of the brands according to range, it emerges from the investigation that, although a segmentation of the retail distribution market for clothing by range is relevant, its application encounters certain difficulties. Indeed, on the one hand, it is not always easy to determine in which range a brand should be positioned, and, on the other hand, there may be significant price differences within a range. The price surveys conducted during the investigation have thus shown that the brands considered as</w:t>
      </w:r>
    </w:p>
    <w:p>
      <w:r>
        <w:rPr>
          <w:b/>
        </w:rPr>
        <w:t>[Pages 7–9]</w:t>
      </w:r>
    </w:p>
    <w:p>
      <w:r>
        <w:t>relevant to the mid-range could set prices closer to those of entry-level brands than those set by other mid-range brands.</w:t>
      </w:r>
    </w:p>
    <w:p>
      <w:r>
        <w:t>26. Furthermore, it also emerges from the investigation that Galeries Lafayette stores market certain brands that have a commercial positioning similar to that of Camaïeu.</w:t>
      </w:r>
    </w:p>
    <w:p>
      <w:r>
        <w:t>27. In order to take this competitive pressure into account, the Authority conducted a conservative analysis, considering the areas of Camaïeu stores, those of the closest competitors of this brand, as well as the total areas allocated to women's clothing within Galeries Lafayette stores. The competing brands of Galeries Lafayette, in terms of commercial positioning (notably in terms of targeted clientele and selling prices), were not taken into account.</w:t>
      </w:r>
    </w:p>
    <w:p>
      <w:r>
        <w:t>28. Regarding the methods of considering the sales areas attributable to the notifying party in its Galeries Lafayette stores, it emerges from the investigation that it is not necessary to rule on the relevance of the arguments developed by the notifying party, as the conclusions of the analysis remain unchanged regardless of the hypothesis retained. The analysis was thus conducted conservatively, allocating to FIB all the sales areas reserved for women's clothing in its stores.</w:t>
      </w:r>
    </w:p>
    <w:p>
      <w:r>
        <w:t>29. Furthermore, concerning the GSS (large-scale retail outlets), the decision-making practice15 indicates that these are "stores with a sales area greater than 400 m², generally located on the outskirts of cities and whose offer is positioned at the entry-level in the retail clothing distribution (for example, Kiabi, Vêtimarché, Distri center, etc.)," while it specifies that specialized boutiques are "points of sale with an area smaller than that of GSS and which offer branded products from the network (for example, Morgan, Celio, Caroll, Kookaï, Alain Manoukian, etc.)." However, it emerges from the investigation, on the one hand, that certain brands may have points of sale with an area smaller than 400 m² and others with an area greater than 400 m² and, on the other hand, that points of sale with an area greater than 400 m² may also be located in city centers and offer mid-range clothing. In this case, the Galeries Lafayette points of sale with a sales area greater than 400 m², as well as certain Camaïeu points of sale, were all taken into account in the analysis, regardless of their area.</w:t>
      </w:r>
    </w:p>
    <w:p>
      <w:r>
        <w:t>30. Finally, regarding stores offering mixed clothing, only the areas allocated to women's clothing were taken into account.</w:t>
      </w:r>
    </w:p>
    <w:p>
      <w:r>
        <w:t>31. The Authority thus conducted an initial conservative analysis, taking into account all the sales areas of the retail outlets allocated to women's clothing of Galeries Lafayette and Camaïeu stores and only retaining the main competing retail outlets of Camaïeu, which were notably identified with regard to their commercial positioning (selling prices and targeted clientele). At the end of this initial conservative analysis, for the areas likely to be problematic due to the low number of remaining competitors or the significant market shares of the new entity, the Authority refined its analysis.</w:t>
      </w:r>
    </w:p>
    <w:p>
      <w:r>
        <w:t>15 Letter from the Minister of Economy, Finance and Industry dated July 24, 2003, to the advisors of the company VETIR SA regarding a concentration in the clothing distribution sector.</w:t>
      </w:r>
    </w:p>
    <w:p>
      <w:r>
        <w:t>b) National Level Analysis</w:t>
      </w:r>
    </w:p>
    <w:p>
      <w:r>
        <w:t>32. In the downstream markets for the retail distribution of mid-range women's shoes and clothing, the new entity estimates that it holds a market share, regardless of the segmentation retained, of less than 5%. It will face competition from other national brands, which have physical stores and online sales sites, such as H&amp;M, Zara, Cache-Cache, Bonobo, Bizzbee, Promod, Mango, and Naf-Naf, regarding clothing distribution, and such as André, Jonak, San Marina, and Bocage, regarding shoe distribution.</w:t>
      </w:r>
    </w:p>
    <w:p>
      <w:r>
        <w:t>33. The operation is therefore not likely to harm competition at the national level in the markets for the retail distribution of mid-range women's shoes and clothing.</w:t>
      </w:r>
    </w:p>
    <w:p>
      <w:r>
        <w:t>c) Local Level Analysis</w:t>
      </w:r>
    </w:p>
    <w:p>
      <w:r>
        <w:t>34. At the local level, the parties are simultaneously present in 50 areas16.</w:t>
      </w:r>
    </w:p>
    <w:p>
      <w:r>
        <w:t>35. Regarding the retail distribution of mid-range women's shoes, the market share of the new entity, as estimated by the notifying party, would be less than 25% in each of the considered areas, with the exception of two of them. In these two areas, however, the market share of the new entity would not exceed 35%. Furthermore, the increase in market share related to the operation would be less than 2 percentage points.</w:t>
      </w:r>
    </w:p>
    <w:p>
      <w:r>
        <w:t>36. The operation is therefore not likely to harm competition in the local markets for mid-range women's shoe distribution.</w:t>
      </w:r>
    </w:p>
    <w:p>
      <w:r>
        <w:t>37. The developments below only concern the retail distribution of mid-range women's clothing.</w:t>
      </w:r>
    </w:p>
    <w:p>
      <w:r>
        <w:t>i) Areas where the cumulative market share is less than 45%</w:t>
      </w:r>
    </w:p>
    <w:p>
      <w:r>
        <w:t>38. In 48 of the 50 areas where the parties are simultaneously present, the cumulative market share of their retail distribution of mid-range women's clothing, following the conservative methodology developed above, is less than 45%. In all these areas, the parties face at least three competing brands.</w:t>
      </w:r>
    </w:p>
    <w:p>
      <w:r>
        <w:t>39. Given the conservative nature of the analysis conducted, the Authority considered that this level of market share and the presence of at least three competing brands were sufficient to exclude any risk of harm to competition in the studied area.</w:t>
      </w:r>
    </w:p>
    <w:p>
      <w:r>
        <w:t>40. In light of these criteria, the Authority was able to rule out any risk of harm to competition in these 48 areas.</w:t>
      </w:r>
    </w:p>
    <w:p>
      <w:r>
        <w:t>ii) Areas where the cumulative market share is greater than 45%</w:t>
      </w:r>
    </w:p>
    <w:p>
      <w:r>
        <w:t>41. By applying the previously described conservative filter, the new entity will hold market shares greater than 45% in two of the three areas of Chalon-sur-Saône. In these areas, the overlap occurs between the Camaïeu points of sale located in the Géant Casino and Chalon Sud shopping centers, on the one hand, and the Galeries Lafayette store located at 17 boulevard de la République, on the other hand. Another Camaïeu store is also present in this area.</w:t>
      </w:r>
    </w:p>
    <w:p>
      <w:r>
        <w:t>42. The competitive composition of these two areas being identical, they were subject to a joint analysis.</w:t>
      </w:r>
    </w:p>
    <w:p>
      <w:r>
        <w:t>Area</w:t>
        <w:br/>
        <w:t>Store City Address Market Share</w:t>
        <w:br/>
        <w:t>retained</w:t>
        <w:br/>
        <w:t>Chalon-sur- Shopping Center</w:t>
        <w:br/>
        <w:t>Camaïeu [0-500] m² [5-10] %</w:t>
        <w:br/>
        <w:t>Saône Chalon Sud</w:t>
        <w:br/>
        <w:t>Chalon-sur- Shopping Center</w:t>
        <w:br/>
        <w:t>Camaïeu [0-500] m² [5-10] %</w:t>
        <w:br/>
        <w:t>Saône Géant Casino</w:t>
        <w:br/>
        <w:t>Chalon-sur-</w:t>
        <w:br/>
        <w:t>Camaïeu 40 Grand Rue [0-500] m² [5-10] %</w:t>
        <w:br/>
        <w:t>Saône</w:t>
        <w:br/>
        <w:t>Galeries Chalon-sur- 17 boulevard de la</w:t>
        <w:br/>
        <w:t>[500-1000] m² [20-30] %</w:t>
        <w:br/>
        <w:t>Lafayette Saône République</w:t>
        <w:br/>
        <w:t>Chalon-sur-</w:t>
        <w:br/>
        <w:t>Naf-Naf 7 place de Beaune [0-500] m² [5-10] %</w:t>
        <w:br/>
        <w:t>Saône</w:t>
        <w:br/>
        <w:t>Chalon-sur-</w:t>
        <w:br/>
        <w:t>Bonobo 3 rue au Change [0-500] m² [0-5] %</w:t>
        <w:br/>
        <w:t>Saône</w:t>
        <w:br/>
        <w:t>Chalon-sur- Shopping Center</w:t>
        <w:br/>
        <w:t>Jennyfer [0-500] m² [5-10] %</w:t>
        <w:br/>
        <w:t>Saône Chalon Sud</w:t>
        <w:br/>
        <w:t>Chalon-sur- Shopping Center</w:t>
        <w:br/>
        <w:t>Tally Weijl [0-500] m² [10-20] %</w:t>
        <w:br/>
        <w:t>Saône Chalon Sud</w:t>
        <w:br/>
        <w:t>Chalon-sur- Shopping Center</w:t>
        <w:br/>
        <w:t>Vib’s [0-500] m² [0-5] %</w:t>
        <w:br/>
        <w:t>Saône Chalon Sud</w:t>
        <w:br/>
        <w:t>Chalon-sur-</w:t>
        <w:br/>
        <w:t>Promod 37 Grand Rue [0-500] m² [5-10] %</w:t>
        <w:br/>
        <w:t>Saône</w:t>
        <w:br/>
        <w:t>Chalon-sur-</w:t>
        <w:br/>
        <w:t>Pimkie 31 Grand Rue [0-500] m² [10-20] %</w:t>
        <w:br/>
        <w:t>Saône</w:t>
      </w:r>
    </w:p>
    <w:p>
      <w:r>
        <w:t>43. Following this methodology, the market share of the new entity retained is then [40-50]%.</w:t>
      </w:r>
    </w:p>
    <w:p>
      <w:r>
        <w:t>44. It should first be noted that, within the Galeries Lafayette stores, all the commercial areas dedicated to women's clothing have been taken into account, even if these areas are not operated by the FIB group and that some marketed brands are aimed at a clientele distant from that of Camaïeu stores. The share</w:t>
      </w:r>
    </w:p>
    <w:p>
      <w:r>
        <w:rPr>
          <w:b/>
        </w:rPr>
        <w:t>[Pages 10–10]</w:t>
      </w:r>
    </w:p>
    <w:p>
      <w:r>
        <w:t>the market share of the new entity is therefore likely lower than that retained for this initial conservative analysis.</w:t>
      </w:r>
    </w:p>
    <w:p>
      <w:r>
        <w:t>45. Furthermore, in this area, the new entity will face at least seven competing brands, all located within 12 minutes of the target retail outlet.</w:t>
      </w:r>
    </w:p>
    <w:p>
      <w:r>
        <w:t>46. In light of the above, the operation is not likely to harm competition in the areas of Chalon-sur-Saône.</w:t>
      </w:r>
    </w:p>
    <w:p>
      <w:r>
        <w:t>DECIDES</w:t>
      </w:r>
    </w:p>
    <w:p>
      <w:r>
        <w:t>Sole Article: The operation notified under number 20-128 is authorized.</w:t>
      </w:r>
    </w:p>
    <w:p>
      <w: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