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https://www.autoritedelaconcurrence.fr/fr/decision-de-controle-des-concentrations/relative-la-prise-de-controle-exclusif-de-axeria-vie-et-de</w:t>
      </w:r>
    </w:p>
    <w:p>
      <w:r>
        <w:t>Pages translated : 6</w:t>
      </w:r>
    </w:p>
    <w:p/>
    <w:p>
      <w:r>
        <w:rPr>
          <w:b/>
        </w:rPr>
        <w:t>[Pages 1–3]</w:t>
      </w:r>
    </w:p>
    <w:p>
      <w:r>
        <w:t>FRENCH REPUBLIC</w:t>
        <w:br/>
        <w:t>Decision No. 10-DCC-165 of November 22, 2010</w:t>
        <w:br/>
        <w:t>regarding the exclusive control of Axéria Vie and its subsidiaries</w:t>
        <w:br/>
        <w:t>by Crédit Agricole Assurances</w:t>
        <w:br/>
        <w:t>The Competition Authority,</w:t>
        <w:br/>
        <w:t>Having regard to the notification file submitted in full to the merger service on October 18, 2010, regarding the exclusive control by Crédit Agricole Assurances of Axéria Vie and its subsidiaries, formalized by a memorandum of understanding signed on September 7, 2010;</w:t>
        <w:br/>
        <w:t>Having regard to Book IV of the Commercial Code relating to price freedom and competition, and in particular its Articles L. 430-1 to L. 430-7;</w:t>
        <w:br/>
        <w:t>Adopts the following decision:</w:t>
        <w:br/>
        <w:t>I. The companies concerned and the operation</w:t>
        <w:br/>
        <w:t>1. Crédit Agricole Assurances* (hereinafter "CAA") is a subsidiary of the Crédit Agricole Mutual Group (hereinafter "GCA"). The activities of GCA are divided into several sectors which are: (i) local banking in France, (ii) specialized financial services, (iii) financing and investment banking, (iv) asset management, insurance, and private banking*, (v) retail banking internationally, and (vi) real estate services. CAA, a public limited company, has constituted the "insurance" sector of GCA since January 2009. CAA is present in three areas of activity: (i) personal insurance, through its subsidiaries that provide insurance products to individuals and businesses (savings, life insurance, retirement, provident insurance, dependency, wealth management, employee savings); (ii) property insurance, through subsidiaries that provide insurance products to individuals and professionals (automobile insurance, home insurance, legal protection, etc.), and (iii) borrower insurance, through a subsidiary that provides guarantees of this type.</w:t>
        <w:br/>
        <w:t>* Material errors corrected.</w:t>
      </w:r>
    </w:p>
    <w:p>
      <w:r>
        <w:t>2. Axéria Vie, a public limited company (hereinafter "Axéria Vie"), is a subsidiary of April Group Vie Epargne, a public limited company, itself controlled by April Group, a public limited company active in the insurance sector. Axéria Vie provides life insurance products intended for individuals and retirement savings products for businesses. Its products are notably distributed by April Patrimoine, a public limited company (hereinafter "April Patrimoine"), which it wholly owns. April Patrimoine is a broker offering life insurance, capitalization, individual retirement, and wealth management products to individuals, as well as investment products aimed at promoting employee savings to businesses. April Patrimoine also owns 100% of the capital of April Vie Conseil, a company however excluded from the scope of the operation as it will be sold prior to the operation* to the selling group. Axéria Vie also holds 100% of the capital of ISR Courtage, a public limited company (hereinafter "ISR Courtage") which markets so-called "socially responsible" investment products online.</w:t>
      </w:r>
    </w:p>
    <w:p>
      <w:r>
        <w:t>3. The operation consists of the acquisition of the entire capital of Axéria Vie from April Group Vie Epargne, by CAA, under a memorandum of understanding dated September 7, 2010.</w:t>
      </w:r>
    </w:p>
    <w:p>
      <w:r>
        <w:t>4. The companies concerned together achieve a total worldwide turnover of more than 150 million euros (GCA: […] billion euros for the fiscal year ending December 31, 2009; Axéria Vie: […] million euros for the same year). Each achieves, in France, a turnover exceeding 50 million euros (GCA: […] billion euros for the fiscal year ending December 31, 2009; Axéria Vie: […] million euros for the same year). Given these turnover figures, the operation does not have a community dimension. On the other hand, the control thresholds mentioned in point I of Article L. 430-2 of the Commercial Code are exceeded. This operation is therefore subject to the provisions of Articles L. 430-3 and following of the Commercial Code relating to economic concentration.</w:t>
      </w:r>
    </w:p>
    <w:p>
      <w:r>
        <w:t>II. Delimitation of the relevant markets</w:t>
        <w:br/>
        <w:t>5. The parties to the operation are simultaneously active in the insurance and insurance distribution sector. They also distribute investment products (off-balance sheet savings).</w:t>
      </w:r>
    </w:p>
    <w:p>
      <w:r>
        <w:t>A. DELIMITATION OF THE RELEVANT SERVICE MARKETS</w:t>
        <w:br/>
        <w:t>1. INSURANCE ACTIVITIES</w:t>
        <w:br/>
        <w:t>6. Within the insurance sector, national and community competition authorities consistently distinguish between personal insurance and property insurance (goods and liabilities), each of which can in turn be segmented into as many markets as there are insurances covering different types of risks, insofar as, from the demand perspective, insurances covering these different risks are not substitutable. Regarding the personal insurance market, an additional segmentation can be made between group insurance contracts, concluded between an insurer and a policyholder distinct from the beneficiary, and individual insurance contracts for which the policyholder is also the beneficiary. Similarly, concerning the property insurance market, an additional segmentation can be made between insurance for individuals and insurance for professionals.</w:t>
      </w:r>
    </w:p>
    <w:p>
      <w:r>
        <w:t>7. The parties to the operation are simultaneously active, in terms of personal insurance, in the savings and life insurance market, which includes all financial products composed within the framework of optional capital or annuity insurances and life insurance products. Practice has considered distinguishing, within life insurance, individual life insurance products from group life insurance products. Nevertheless, in this case, Axéria Vie does not provide group life insurance.</w:t>
      </w:r>
    </w:p>
    <w:p>
      <w:r>
        <w:t>8. In any event, for the purposes of this operation, the question of market segmentation of savings and life insurance can be left open insofar as, regardless of the delineation adopted, the conclusions of the analysis will remain unchanged.</w:t>
      </w:r>
    </w:p>
    <w:p>
      <w:r>
        <w:t>2. INSURANCE DISTRIBUTION ACTIVITIES</w:t>
        <w:br/>
        <w:t>9. According to decision-making practice, it is first possible to consider a global market for the distribution of insurance products by independent intermediaries, including all distribution channels: agents, brokers, and other intermediaries (including banks), with the exception of direct distribution by insurance companies which cannot be considered as constituting a distribution intermediary activity.</w:t>
      </w:r>
    </w:p>
    <w:p>
      <w:r>
        <w:t>10. It is then possible to take into account a narrower market for insurance brokerage, comprising this sole distribution channel: the broker is an intermediary between the requester and the insurance provider whose activity consists of performing "intermediary acts by placing the risks of its clients with the companies that seem most able to guarantee them." In this sense, the broker fulfills a specific activity from the perspective of its clientele, which consists of maximizing the client's profit rather than that of the insurance company and providing additional services. Further segmentations, depending on the nature of the products offered, may also be considered.</w:t>
      </w:r>
    </w:p>
    <w:p>
      <w:r>
        <w:rPr>
          <w:b/>
        </w:rPr>
        <w:t>[Pages 4–6]</w:t>
      </w:r>
    </w:p>
    <w:p>
      <w:r>
        <w:t>clientele (businesses or individuals) and the major categories of insured risks have also been considered, due to their low substitutability8.</w:t>
      </w:r>
    </w:p>
    <w:p>
      <w:r>
        <w:t>11. In the present case, the parties are simultaneously active in the field of intermediated insurance distribution, and only April Patrimoine* is active in the brokerage of insurance products.</w:t>
      </w:r>
    </w:p>
    <w:p>
      <w:r>
        <w:t>12. In any event, for the purposes of this transaction, the question of the exact definition of the markets in insurance distribution can be left open insofar as, regardless of the delineation adopted, the conclusions of the analysis will remain unchanged.</w:t>
      </w:r>
    </w:p>
    <w:p>
      <w:r>
        <w:t>3. THE ACTIVITIES OF DISTRIBUTION OF OFF-BALANCE SHEET SAVINGS PRODUCTS</w:t>
      </w:r>
    </w:p>
    <w:p>
      <w:r>
        <w:t>13. The off-balance sheet savings market concerns financial savings products intended for individuals9. These products take the form of Collective Investment Schemes in Transferable Securities, which are divided into SICAVs and FCPs, pension funds, or other securities (stocks and bonds). Off-balance sheet savings differ from bank savings by the level of risk incurred by savers10. However, these two markets are not completely insulated: the demand for different products strongly depends on their comparative remuneration. Thus, a decrease in the remuneration of passbook accounts or term accounts may lead to increased demand for financial products, and vice versa. Previous practice has therefore considered grouping these two markets, without definitively resolving this issue. Furthermore, it has considered that the demand from businesses for traditional savings products is very residual, which does not allow for distinguishing a market for traditional bank savings for this category of clientele11.</w:t>
      </w:r>
    </w:p>
    <w:p>
      <w:r>
        <w:t>14. In any event, for the purposes of this transaction, the question of the exact definition of the markets in the distribution of off-balance sheet savings products can be left open insofar as, regardless of the delineation adopted, the conclusions of the analysis will remain unchanged.</w:t>
      </w:r>
    </w:p>
    <w:p>
      <w:r>
        <w:t>B. DELIMITATION OF GEOGRAPHICAL MARKETS</w:t>
      </w:r>
    </w:p>
    <w:p>
      <w:r>
        <w:t>15. With the exception of certain insurances covering large-scale risks, which are not concerned by this transaction, the insurance markets have been considered to be of national dimension given consumer preferences, the existence of national legislation and tax constraints, the current structure of these markets, and the regulatory systems.</w:t>
      </w:r>
    </w:p>
    <w:p>
      <w:r>
        <w:t>16. Similarly, the markets for the distribution of insurance products have been considered to be of national dimension12.</w:t>
      </w:r>
    </w:p>
    <w:p>
      <w:r>
        <w:t>17. Finally, community and national practice has examined the competitive situation of the markets for the distribution of off-balance sheet savings products at the national level13.</w:t>
      </w:r>
    </w:p>
    <w:p>
      <w:r>
        <w:t>III. Competitive Analysis</w:t>
      </w:r>
    </w:p>
    <w:p>
      <w:r>
        <w:t>A. ANALYSIS OF HORIZONTAL EFFECTS</w:t>
      </w:r>
    </w:p>
    <w:p>
      <w:r>
        <w:t>1. INSURANCE ACTIVITIES</w:t>
      </w:r>
    </w:p>
    <w:p>
      <w:r>
        <w:t>18. In the life insurance market, GCA estimates its market share at [10-20]% and Axéria Vie at [0-5]%, totaling [10-20]%. In the individual life insurance segment alone, GCA holds a market share of [10-20]% and Axéria Vie of [0-5]%, totaling [10-20]%.</w:t>
      </w:r>
    </w:p>
    <w:p>
      <w:r>
        <w:t>19. The increment in market share resulting from the transaction is therefore low. Moreover, the new entity will continue to face competition from major players in the life insurance market such as CNP ([10-20]%), Axa ([5-10]%), Generali ([5-10]%), and BNP Paribas Assurances ([5-10]%).</w:t>
      </w:r>
    </w:p>
    <w:p>
      <w:r>
        <w:t>20. Consequently, the notified transaction is not likely to harm competition through horizontal effects in the French insurance market.</w:t>
      </w:r>
    </w:p>
    <w:p>
      <w:r>
        <w:t>2. INSURANCE DISTRIBUTION ACTIVITIES</w:t>
      </w:r>
    </w:p>
    <w:p>
      <w:r>
        <w:t>21. In the overall market for the distribution of personal insurance, GCA estimates its market share at [10-20]% and Axéria Vie at [0-5]%, totaling [10-20]%.</w:t>
      </w:r>
    </w:p>
    <w:p>
      <w:r>
        <w:t>22. The increment in market share resulting from the transaction is therefore very limited. Furthermore, the new entity will continue to face competition from major distribution players such as BPCE ([10-20]%), BNP Paribas ([5-10]%), La Banque Postale ([5-10]%), Société Générale ([5-10%]), international groups.</w:t>
      </w:r>
    </w:p>
    <w:p>
      <w:r>
        <w:t>23. Consequently, the notified transaction is not likely to harm competition through horizontal effects in the French insurance distribution market.</w:t>
      </w:r>
    </w:p>
    <w:p>
      <w:r>
        <w:t>3. DISTRIBUTION ACTIVITIES OF OFF-BALANCE SHEET SAVINGS PRODUCTS</w:t>
      </w:r>
    </w:p>
    <w:p>
      <w:r>
        <w:t>24. In the off-balance sheet savings products market, GCA estimates its market share at [10-20]% and April Patrimoine at less than [0-5]%. The increment in market share is therefore minimal, which will very little affect the current competitive situation. Moreover, in this sector, competition remains driven by large groups such as BNP Paribas, BPCE, and Axa14.</w:t>
      </w:r>
    </w:p>
    <w:p>
      <w:r>
        <w:t>25. Consequently, the notified transaction is not likely to harm competition through horizontal effects in the French market for the distribution of off-balance sheet savings products.</w:t>
      </w:r>
    </w:p>
    <w:p>
      <w:r>
        <w:t>B. VERTICAL AND CONGLOMERATE EFFECTS</w:t>
      </w:r>
    </w:p>
    <w:p>
      <w:r>
        <w:t>26. The notifying parties are active in the upstream market of insurance activities and in the downstream market of insurance distribution. Following the transaction, the new entity will hold a market share of [10-20]% in the insurance market and [10-20]% in the insurance distribution market.</w:t>
      </w:r>
    </w:p>
    <w:p>
      <w:r>
        <w:t>27. However, as already indicated, the new entity will continue to face competition from major players in the sector, both upstream and downstream. Furthermore, in addition to the particularly low nature of the increment in market shares resulting from the transaction, especially downstream, Axéria Vie's activities in the brokerage segment, in which the Crédit Agricole group currently has no activity, represent a very limited market share (less than [0-5]%). The transaction is therefore not likely to lead to a risk of exclusion or foreclosure.</w:t>
      </w:r>
    </w:p>
    <w:p>
      <w:r>
        <w:t>28. Regarding a potential conglomerate effect, the parties have portfolios of similar insurance contracts. Their main competitors, such as Axa and BNP Paribas Assurances, have equally comprehensive product ranges and equally attractive brands. Consequently, the transaction is not likely to harm competition on this basis.</w:t>
      </w:r>
    </w:p>
    <w:p>
      <w:r>
        <w:t>DECIDES</w:t>
      </w:r>
    </w:p>
    <w:p>
      <w:r>
        <w:t>Sole Article: The transaction notified under number 10-0168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