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https://www.autoritedelaconcurrence.fr/fr/decision-de-controle-des-concentrations/relative-la-prise-de-controle-exclusif-de-babcock-wanson</w:t>
      </w:r>
    </w:p>
    <w:p>
      <w:r>
        <w:t>Pages translated : 2</w:t>
      </w:r>
    </w:p>
    <w:p/>
    <w:p>
      <w:r>
        <w:rPr>
          <w:b/>
        </w:rPr>
        <w:t>[Pages 1–2]</w:t>
      </w:r>
    </w:p>
    <w:p>
      <w:r>
        <w:t xml:space="preserve">FRENCH REPUBLIC  </w:t>
        <w:br/>
        <w:t xml:space="preserve">Decision No. 24-DCC-130 of July 2, 2024  </w:t>
        <w:br/>
        <w:t xml:space="preserve">regarding the exclusive control acquisition of Babcock Wanson Group by  </w:t>
        <w:br/>
        <w:t xml:space="preserve">the company Ambienta  </w:t>
        <w:br/>
        <w:t xml:space="preserve">The Competition Authority,  </w:t>
        <w:br/>
        <w:t xml:space="preserve">Having regard to the complete notification file sent to the mergers department on June 17, 2024,  </w:t>
        <w:br/>
        <w:t xml:space="preserve">concerning the exclusive control acquisition of the company Babcock Wanson Group and its subsidiaries  </w:t>
        <w:br/>
        <w:t xml:space="preserve">(“BWG group”) by the company Ambienta, formalized by a unilateral purchase promise and  </w:t>
        <w:br/>
        <w:t xml:space="preserve">an investment contract dated May 7, 2024;  </w:t>
        <w:br/>
        <w:t xml:space="preserve">Having regard to Book IV of the Commercial Code relating to the freedom of prices and competition, and  </w:t>
        <w:br/>
        <w:t xml:space="preserve">notably its Articles L. 430-1 to L. 430-7;  </w:t>
        <w:br/>
        <w:t xml:space="preserve">Adopts the following decision:  </w:t>
        <w:br/>
        <w:t xml:space="preserve">1. The notified operation consists of the exclusive control acquisition by the company Ambienta of the BWG group, active in the sectors of the manufacturing and sale of industrial boilers, industrial burners, air conditioning products, and thermal oxidizers as well as in the sector of boiler water treatment. It constitutes a concentration operation within the meaning of Article L. 430-1 of the Commercial Code. Given the turnover achieved by the concerned companies,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24-140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