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https://www.autoritedelaconcurrence.fr/fr/decision-de-controle-des-concentrations/relative-la-prise-de-controle-exclusif-de-cermaq-asa-par</w:t>
      </w:r>
    </w:p>
    <w:p>
      <w:r>
        <w:t>Pages translated : 5</w:t>
      </w:r>
    </w:p>
    <w:p/>
    <w:p>
      <w:r>
        <w:rPr>
          <w:b/>
        </w:rPr>
        <w:t>[Pages 1–3]</w:t>
      </w:r>
    </w:p>
    <w:p>
      <w:r>
        <w:t xml:space="preserve">FRENCH REPUBLIC  </w:t>
        <w:br/>
        <w:t xml:space="preserve">Decision No. 14-DCC-153 of October 22, 2014  </w:t>
        <w:br/>
        <w:t>regarding the exclusive control of Cermaq ASA by Mitsubishi Corporation</w:t>
      </w:r>
    </w:p>
    <w:p>
      <w:r>
        <w:t xml:space="preserve">The Competition Authority,  </w:t>
        <w:br/>
        <w:t xml:space="preserve">Having regard to the notification file submitted in full to the mergers service on September 22, 2014, regarding the exclusive control of Cermaq ASA by Mitsubishi Corporation, formalized by a public offer dated September 22, 2014;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Mitsubishi Corporation (hereinafter "Mitsubishi") is a trading company headquartered in Tokyo, Japan. It finances and develops activities in various sectors, such as finance, banking, energy, equipment, chemicals, and the food industry. In the salmon sector, Mitsubishi has a salmon and trout farming activity in Chile, through its subsidiary Salmones Humboldt. It also holds several subsidiaries active in the secondary processing of seafood products and the wholesale of food products in various forms.  </w:t>
        <w:br/>
        <w:t xml:space="preserve">2. Cermaq ASA (hereinafter "Cermaq") is a Norwegian company listed on the Oslo Stock Exchange, active in the fish farming sector and specialized in the production of salmonids. The Norwegian State is the majority shareholder of the company. It operates globally with activities in Chile, Canada, and Norway.  </w:t>
        <w:br/>
        <w:t>3. By a public offer launched on September 22, 2014, Mitsubishi proposed to acquire, through its wholly-owned subsidiary MC Ocean Holdings Limited, all outstanding shares of Cermaq.</w:t>
      </w:r>
    </w:p>
    <w:p>
      <w:r>
        <w:t xml:space="preserve">4. In that it results in the exclusive control of Cermaq by Mitsubishi, the operation constitutes a concentration within the meaning of Article L. 430-1 of the Commercial Code.  </w:t>
        <w:br/>
        <w:t>5. The companies concerned have together achieved a consolidated worldwide turnover of more than 150 million euros (Mitsubishi: 56.8 billion euros for the fiscal year ending March 31, 2014; Cermaq: 661 million euros for the fiscal year ending December 31, 2013). Each of these companies has achieved, in France, a turnover exceeding 50 million euros (Mitsubishi: […] euros for the fiscal year ending March 31, 2014; Cermaq: […] euros for the fiscal year ending December 31, 2013). Considering the turnovers of the companies concerned, it does not have a community dimension. However, the control thresholds mentioned in Article L. 430-2-I of the Commercial Code are exceeded. The present operation is therefore subject to the provisions of Articles L. 430-3 and following of the Commercial Code.</w:t>
      </w:r>
    </w:p>
    <w:p>
      <w:r>
        <w:t xml:space="preserve">II. Delimitation of relevant markets  </w:t>
        <w:br/>
        <w:t xml:space="preserve">6. The companies Mitsubishi and Cermaq are both active in the farming and primary processing of salmonids. Cermaq is also active in the secondary processing of salmonids.  </w:t>
        <w:br/>
        <w:t xml:space="preserve">A. THE MARKET FOR FARMING AND PRIMARY PROCESSING OF SALMON  </w:t>
        <w:br/>
        <w:t xml:space="preserve">1. PRODUCT MARKET  </w:t>
        <w:br/>
        <w:t xml:space="preserve">7. National decision-making practice has recognized the existence of a distinct salmon market from that of other fish, both from the perspective of buyers and consumers, given its taste, image, available volumes, supply regularity, yield, and market share.  </w:t>
        <w:br/>
        <w:t xml:space="preserve">8. Decision-making practice has also recognized the existence of a distinct farmed salmon market from that of wild salmon, due to differences in taste, quality, price, and seasonality, with wild salmon being available only at certain seasons, unlike farmed salmon, which is supplied throughout the year.  </w:t>
        <w:br/>
        <w:t xml:space="preserve">9. An additional segmentation has been recognized between farmed Atlantic salmon and farmed Pacific salmon.  </w:t>
        <w:br/>
        <w:t xml:space="preserve">10. Finally, the Commission has also considered that the farming and primary processing of salmon (catching, slaughtering, head removal, gutting, filleting of salmon) constitutes a market distinct from that of the secondary processing of salmon (processing into finished products, such as salmon portions, prepared dishes, and smoked salmon). The market for farming and primary processing of salmon is indeed characterized by significant barriers to entry due to the high amount of initial investments, the necessity to obtain the required licenses for opening aquaculture farms, as well as the expertise needed for salmon farming, unlike the secondary processing market which only requires low initial investments.  </w:t>
        <w:br/>
        <w:t xml:space="preserve">11. In the present case, Mitsubishi is active in the market for the farming and primary processing of Atlantic and Pacific salmon. Cermaq is present only in the market for the farming and primary processing of Atlantic salmon.  </w:t>
        <w:br/>
        <w:t xml:space="preserve">2. GEOGRAPHIC MARKET  </w:t>
        <w:br/>
        <w:t xml:space="preserve">12. Decision-making practice has considered that the relevant geographic market for the farming and primary processing of salmon is the EEA market, due to the absence of regulatory obstacles restricting trade, as well as low transport costs and similar selling prices from one Member State to another.  </w:t>
        <w:br/>
        <w:t xml:space="preserve">13. There is no need, in the present case, to revisit this definition.  </w:t>
        <w:br/>
        <w:t xml:space="preserve">B. THE MARKET FOR SECONDARY PROCESSING OF SALMON  </w:t>
        <w:br/>
        <w:t xml:space="preserve">1. PRODUCT MARKET  </w:t>
        <w:br/>
        <w:t xml:space="preserve">14. European decision-making practice has recognized the existence of a market for the secondary processing of salmon distinct from that of farming and primary processing.  </w:t>
        <w:br/>
        <w:t xml:space="preserve">15. An additional distinction between fresh, smoked, or frozen salmon has also been considered, due to differences in taste, quality, and price between these products.  </w:t>
        <w:br/>
        <w:t xml:space="preserve">16. The question of the exact definition of these markets can, however, be left open insofar as, regardless of the segmentation retained, the conclusions of the competitive analysis will remain unchanged.  </w:t>
        <w:br/>
        <w:t xml:space="preserve">17. In the present case, only Cermaq is active in this market, through exports to the EEA from its activities in Chile. Mitsubishi is not present in this market.  </w:t>
        <w:br/>
        <w:t xml:space="preserve">2. GEOGRAPHIC MARKET  </w:t>
        <w:br/>
        <w:t xml:space="preserve">18. European decision-making practice has left open the question of the geographic delimitation of the market for the secondary processing of salmon.  </w:t>
        <w:br/>
        <w:t>19. The notifying party considers that this market is at least of European dimension.</w:t>
      </w:r>
    </w:p>
    <w:p>
      <w:r>
        <w:rPr>
          <w:b/>
        </w:rPr>
        <w:t>[Pages 4–5]</w:t>
      </w:r>
    </w:p>
    <w:p>
      <w:r>
        <w:t>20. The question of the geographic delimitation of the secondary processing market for salmon can be left open insofar as the conclusions of the competitive analysis will remain unchanged regardless of the delimitation considered.</w:t>
      </w:r>
    </w:p>
    <w:p>
      <w:r>
        <w:t>III. Competitive Analysis</w:t>
      </w:r>
    </w:p>
    <w:p>
      <w:r>
        <w:t>A. ANALYSIS OF HORIZONTAL EFFECTS ON THE MARKET FOR FARMING AND PRIMARY PROCESSING OF ATLANTIC SALMON</w:t>
      </w:r>
    </w:p>
    <w:p>
      <w:r>
        <w:t>21. In the market for farming and primary processing of Atlantic salmon, the notifying party estimates that the market share of the new entity will be around [0-5]%, with the market share increment due to the operation representing less than [0-5]%. Furthermore, it will face a large number of competitors, including Marine Harvest ([20-30]%), Leroy Seafood Group ([10-20]%), Salmar ([10-20]%), and Grieg Seafood ([5-10]%).</w:t>
      </w:r>
    </w:p>
    <w:p>
      <w:r>
        <w:t>22. Consequently, the present operation is not likely to harm competition through horizontal effects in the market for farming and primary processing of Atlantic salmon.</w:t>
      </w:r>
    </w:p>
    <w:p>
      <w:r>
        <w:t>B. ANALYSIS OF VERTICAL EFFECTS</w:t>
      </w:r>
    </w:p>
    <w:p>
      <w:r>
        <w:t>23. The operation strengthens the vertical integration of the new entity. It will indeed allow Mitsubishi, already present in the market for farming and primary processing of salmon, to engage in activities in the secondary processing market for salmon, in which Cermaq is active.</w:t>
      </w:r>
    </w:p>
    <w:p>
      <w:r>
        <w:t>24.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effectively dismisses the risks of lock-in when the market share of the company resulting from the operation in the relevant markets does not exceed 30%.</w:t>
      </w:r>
    </w:p>
    <w:p>
      <w:r>
        <w:t>25. In the present case, in the market for secondary processing of salmon, the notifying party estimates Cermaq's market share to be less than [0-5]%.</w:t>
      </w:r>
    </w:p>
    <w:p>
      <w:r>
        <w:t>26. Given these elements, the present operation is not likely to harm competition through vertical effects.</w:t>
      </w:r>
    </w:p>
    <w:p>
      <w:r>
        <w:t>DECIDES</w:t>
      </w:r>
    </w:p>
    <w:p>
      <w:r>
        <w:t>Sole Article: The operation notified under number 14-163 is authorized.</w:t>
      </w:r>
    </w:p>
    <w:p>
      <w:r>
        <w:t>The President,</w:t>
      </w:r>
    </w:p>
    <w:p>
      <w: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