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https://www.autoritedelaconcurrence.fr/fr/decision-de-controle-des-concentrations/relative-la-prise-de-controle-exclusif-de-certaines-0</w:t>
      </w:r>
    </w:p>
    <w:p>
      <w:r>
        <w:t>Pages translated : 2</w:t>
      </w:r>
    </w:p>
    <w:p/>
    <w:p>
      <w:r>
        <w:rPr>
          <w:b/>
        </w:rPr>
        <w:t>[Pages 1–2]</w:t>
      </w:r>
    </w:p>
    <w:p>
      <w:r>
        <w:t xml:space="preserve">FRENCH REPUBLIC  </w:t>
        <w:br/>
        <w:t xml:space="preserve">Decision No. 16-DCC-143 of September 12, 2016  </w:t>
        <w:br/>
        <w:t xml:space="preserve">regarding the exclusive control acquisition of certain companies and assets of the  </w:t>
        <w:br/>
        <w:t xml:space="preserve">Mondelez group by Eurazeo  </w:t>
        <w:br/>
        <w:t xml:space="preserve">The Competition Authority,  </w:t>
        <w:br/>
        <w:t xml:space="preserve">Having regard to the complete notification file submitted to the mergers department on August 19, 2016,  </w:t>
        <w:br/>
        <w:t xml:space="preserve">concerning the exclusive control acquisition of certain companies and assets of the Mondelez group by  </w:t>
        <w:br/>
        <w:t xml:space="preserve">Eurazeo, materialized by a purchase agreement dated March 30,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transaction consists of the acquisition by the investment fund Eurazeo, of  </w:t>
        <w:br/>
        <w:t xml:space="preserve">certain companies and assets of the Mondelez group, which are specialized in the manufacture and  </w:t>
        <w:br/>
        <w:t xml:space="preserve">marketing of chocolate-based products, candies, chocolate drinks, and chewing gums. It constitutes a concentration operation within the meaning of Article L. 430-1 of the Commercial Code. Given the turnover generated by the companies involved,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16-146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