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https://www.autoritedelaconcurrence.fr/fr/decision-de-controle-des-concentrations/relative-la-prise-de-controle-exclusif-de-certaines-1</w:t>
      </w:r>
    </w:p>
    <w:p>
      <w:r>
        <w:t>Pages translated : 2</w:t>
      </w:r>
    </w:p>
    <w:p/>
    <w:p>
      <w:r>
        <w:rPr>
          <w:b/>
        </w:rPr>
        <w:t>[Pages 1–2]</w:t>
      </w:r>
    </w:p>
    <w:p>
      <w:r>
        <w:t xml:space="preserve">FRENCH REPUBLIC  </w:t>
        <w:br/>
        <w:t xml:space="preserve">Decision No. 19-DCC-212 of November 18, 2019  </w:t>
        <w:br/>
        <w:t xml:space="preserve">regarding the exclusive control acquisition of certain companies of the Valeur et Capital group by Montefiore Investment  </w:t>
        <w:br/>
        <w:t xml:space="preserve">The Competition Authority,  </w:t>
        <w:br/>
        <w:t xml:space="preserve">Having regard to the complete notification file submitted to the mergers department on October 18, 2019, concerning the exclusive control acquisition of certain companies of the Valeur et Capital group by Montefiore Investment, formalized by a transfer and contribution agreement dated September 19,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certain companies of the Valeur et Capital group by Montefiore Investment.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real estate services, banking services, and the distribution of insurance products,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19-252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