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https://www.autoritedelaconcurrence.fr/fr/decision-de-controle-des-concentrations/relative-la-prise-de-controle-exclusif-de-certaines-3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25-DCC-27 of February 3, 2025</w:t>
        <w:br/>
        <w:t>regarding the exclusive control acquisition of certain subsidiaries, assets, and</w:t>
        <w:br/>
        <w:t>contracts of the company Eolane France by the company Cicor Technologies</w:t>
        <w:br/>
        <w:t>The Competition Authority,</w:t>
        <w:br/>
        <w:t>Having regard to the complete notification file sent to the mergers department on January 17, 2025,</w:t>
        <w:br/>
        <w:t>concerning the exclusive control acquisition of certain subsidiaries, assets, and contracts of the company</w:t>
        <w:br/>
        <w:t>Eolane France by the company Cicor Technologies formalized by a partial takeover offer dated December 20, 2024 [confidential];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acquisition, direct or indirect, by the company</w:t>
        <w:br/>
        <w:t>Cicor Technologies of the entirety of the share capital and voting rights of certain subsidiaries</w:t>
        <w:br/>
        <w:t>of Eolane France, as well as the ownership or title of certain assets or contracts</w:t>
        <w:br/>
        <w:t>of Eolane France. The sector primarily concerned by this operation is that of</w:t>
        <w:br/>
        <w:t>the design, manufacture, and maintenance of assembled electronic printed circuits and</w:t>
        <w:br/>
        <w:t>their integration into final products. The operation constitutes a concentration within the meaning of</w:t>
        <w:br/>
        <w:t>Article L. 430-1 of the Commercial Code. Given the turnover generated by the</w:t>
        <w:br/>
        <w:t>concerned companies, the operation does not fall under the jurisdiction of the European Union. However, the control thresholds mentioned in I of Article L. 430-2 of the Commercial Code are exceeded. This operation is therefore subject to the provisions of Articles L. 430-3 and</w:t>
        <w:br/>
        <w:t>following of the Commercial Code relating to economic concentration.</w:t>
        <w:br/>
        <w:t>2. In light of the elements of the file, the operation is not likely to harm competition</w:t>
        <w:br/>
        <w:t>in the concerned markets.</w:t>
      </w:r>
    </w:p>
    <w:p>
      <w:r>
        <w:t>DECIDES</w:t>
        <w:br/>
        <w:t>Sole Article: The operation notified under number 25-011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